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left" w:leader="none" w:pos="15210"/>
        </w:tabs>
        <w:spacing w:after="0" w:line="240" w:lineRule="auto"/>
        <w:ind w:right="360"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permStart w:edGrp="everyone" w:id="2074443240"/>
      <w:r>
        <w:rPr>
          <w:rFonts w:ascii="Arial" w:hAnsi="Arial" w:eastAsia="Times New Roman" w:cs="Arial"/>
          <w:bCs/>
          <w:i/>
          <w:sz w:val="20"/>
          <w:szCs w:val="20"/>
          <w:lang w:val="en-GB"/>
        </w:rPr>
        <w:t xml:space="preserve">All paragraphs, sentences or words marked in blue in square brackets can be used in the sa</w:t>
      </w:r>
      <w:r>
        <w:rPr>
          <w:rFonts w:ascii="Arial" w:hAnsi="Arial" w:eastAsia="Times New Roman" w:cs="Arial"/>
          <w:bCs/>
          <w:i/>
          <w:sz w:val="20"/>
          <w:szCs w:val="20"/>
          <w:lang w:val="en-GB"/>
        </w:rPr>
        <w:t xml:space="preserve">me or modified form when filling in the standard Appendix form and included in the final version of the Appendix text in the format of black normal text. In case of deleting any clauses, it is mandatory to renumber them and check references. All other unus</w:t>
      </w:r>
      <w:r>
        <w:rPr>
          <w:rFonts w:ascii="Arial" w:hAnsi="Arial" w:eastAsia="Times New Roman" w:cs="Arial"/>
          <w:bCs/>
          <w:i/>
          <w:sz w:val="20"/>
          <w:szCs w:val="20"/>
          <w:lang w:val="en-GB"/>
        </w:rPr>
        <w:t xml:space="preserve">ed text in blue must be deleted. The number of articles of the Appendix must be aligned with the Contract. If a clause is not used, it can be deleted. The appendix has a free form for updating, deleting and/or adding articles, if requested by the Contract]</w:t>
      </w:r>
      <w:permEnd w:id="2074443240"/>
      <w:r>
        <w:rPr>
          <w:rFonts w:ascii="Arial" w:hAnsi="Arial" w:eastAsia="Times New Roman" w:cs="Arial"/>
          <w:bCs/>
          <w:i/>
          <w:sz w:val="20"/>
          <w:szCs w:val="20"/>
          <w:lang w:val="en-GB"/>
        </w:rPr>
      </w:r>
    </w:p>
    <w:p>
      <w:pPr>
        <w:pBdr/>
        <w:spacing w:after="0" w:line="240" w:lineRule="auto"/>
        <w:ind w:left="284"/>
        <w:jc w:val="center"/>
        <w:rPr>
          <w:rFonts w:ascii="Arial" w:hAnsi="Arial" w:eastAsia="Times New Roman" w:cs="Arial"/>
          <w:b/>
          <w:sz w:val="20"/>
          <w:szCs w:val="20"/>
          <w:lang w:val="en-GB"/>
        </w:rPr>
      </w:pPr>
      <w:r>
        <w:rPr>
          <w:rFonts w:ascii="Arial" w:hAnsi="Arial" w:eastAsia="Times New Roman" w:cs="Arial"/>
          <w:b/>
          <w:sz w:val="20"/>
          <w:szCs w:val="20"/>
          <w:lang w:val="en-GB"/>
        </w:rPr>
      </w:r>
      <w:r>
        <w:rPr>
          <w:rFonts w:ascii="Arial" w:hAnsi="Arial" w:eastAsia="Times New Roman" w:cs="Arial"/>
          <w:b/>
          <w:sz w:val="20"/>
          <w:szCs w:val="20"/>
          <w:lang w:val="en-GB"/>
        </w:rPr>
      </w:r>
    </w:p>
    <w:p>
      <w:pPr>
        <w:pBdr/>
        <w:spacing w:after="0" w:line="240" w:lineRule="auto"/>
        <w:ind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APPENDIX   1 – SPECIFICATION OF AGREED SERVICES </w:t>
      </w:r>
      <w:r>
        <w:rPr>
          <w:rFonts w:ascii="Arial" w:hAnsi="Arial" w:eastAsia="Times New Roman" w:cs="Arial"/>
          <w:b/>
          <w:sz w:val="20"/>
          <w:szCs w:val="20"/>
          <w:lang w:val="en-GB"/>
        </w:rPr>
      </w:r>
    </w:p>
    <w:p>
      <w:pPr>
        <w:pBdr/>
        <w:spacing w:after="0" w:line="240" w:lineRule="auto"/>
        <w:ind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to the Contract on Procurement of Services in the Field of Information and Communication Technologies </w:t>
      </w:r>
      <w:r>
        <w:rPr>
          <w:rFonts w:ascii="Arial" w:hAnsi="Arial" w:eastAsia="Times New Roman" w:cs="Arial"/>
          <w:b/>
          <w:sz w:val="20"/>
          <w:szCs w:val="20"/>
          <w:lang w:val="en-GB"/>
        </w:rPr>
      </w:r>
    </w:p>
    <w:p>
      <w:pPr>
        <w:pBdr/>
        <w:spacing w:after="0" w:line="240" w:lineRule="auto"/>
        <w:ind w:left="284"/>
        <w:rPr>
          <w:rFonts w:ascii="Arial" w:hAnsi="Arial" w:eastAsia="Times New Roman" w:cs="Arial"/>
          <w:b/>
          <w:sz w:val="20"/>
          <w:szCs w:val="20"/>
          <w:lang w:val="en-GB"/>
        </w:rPr>
      </w:pPr>
      <w:r>
        <w:rPr>
          <w:rFonts w:ascii="Arial" w:hAnsi="Arial" w:eastAsia="Times New Roman" w:cs="Arial"/>
          <w:b/>
          <w:sz w:val="20"/>
          <w:szCs w:val="20"/>
          <w:lang w:val="en-GB"/>
        </w:rPr>
      </w:r>
      <w:r>
        <w:rPr>
          <w:rFonts w:ascii="Arial" w:hAnsi="Arial" w:eastAsia="Times New Roman" w:cs="Arial"/>
          <w:b/>
          <w:sz w:val="20"/>
          <w:szCs w:val="20"/>
          <w:lang w:val="en-GB"/>
        </w:rPr>
      </w:r>
    </w:p>
    <w:p>
      <w:pPr>
        <w:pBdr/>
        <w:spacing w:after="0" w:line="240" w:lineRule="auto"/>
        <w:ind w:left="284"/>
        <w:jc w:val="both"/>
        <w:rPr>
          <w:rFonts w:ascii="Arial" w:hAnsi="Arial" w:eastAsia="Times New Roman" w:cs="Arial"/>
          <w:b/>
          <w:sz w:val="20"/>
          <w:szCs w:val="20"/>
          <w:lang w:val="en-GB"/>
        </w:rPr>
      </w:pPr>
      <w:r>
        <w:rPr>
          <w:rFonts w:ascii="Arial" w:hAnsi="Arial" w:eastAsia="Times New Roman" w:cs="Arial"/>
          <w:b/>
          <w:sz w:val="20"/>
          <w:szCs w:val="20"/>
          <w:lang w:val="en-GB"/>
        </w:rPr>
        <w:t xml:space="preserve">Entered into in ______________  on ____________, between the following Parties:</w:t>
      </w:r>
      <w:r>
        <w:rPr>
          <w:rFonts w:ascii="Arial" w:hAnsi="Arial" w:eastAsia="Times New Roman" w:cs="Arial"/>
          <w:b/>
          <w:sz w:val="20"/>
          <w:szCs w:val="20"/>
          <w:lang w:val="en-GB"/>
        </w:rPr>
      </w:r>
    </w:p>
    <w:p>
      <w:pPr>
        <w:pBdr/>
        <w:spacing w:after="0" w:line="240" w:lineRule="auto"/>
        <w:ind w:left="284"/>
        <w:jc w:val="both"/>
        <w:rPr>
          <w:rFonts w:ascii="Arial" w:hAnsi="Arial" w:eastAsia="Times New Roman" w:cs="Arial"/>
          <w:sz w:val="20"/>
          <w:szCs w:val="20"/>
          <w:lang w:val="en-GB"/>
        </w:rPr>
      </w:pPr>
      <w:r>
        <w:rPr>
          <w:rFonts w:ascii="Arial" w:hAnsi="Arial" w:eastAsia="Times New Roman" w:cs="Arial"/>
          <w:b/>
          <w:sz w:val="20"/>
          <w:szCs w:val="20"/>
          <w:lang w:val="en-GB"/>
        </w:rPr>
        <w:t xml:space="preserve">Company for Exploration, Production, Refining, Sales and Distribution of Crude Oil and Petroleum Products and Exploration and Production of Natural Gas </w:t>
      </w:r>
      <w:r>
        <w:rPr>
          <w:rFonts w:ascii="Arial" w:hAnsi="Arial" w:eastAsia="Times New Roman" w:cs="Arial"/>
          <w:b/>
          <w:sz w:val="20"/>
          <w:szCs w:val="20"/>
          <w:lang w:val="en-GB"/>
        </w:rPr>
        <w:t xml:space="preserve">Naftna</w:t>
      </w:r>
      <w:r>
        <w:rPr>
          <w:rFonts w:ascii="Arial" w:hAnsi="Arial" w:eastAsia="Times New Roman" w:cs="Arial"/>
          <w:b/>
          <w:sz w:val="20"/>
          <w:szCs w:val="20"/>
          <w:lang w:val="en-GB"/>
        </w:rPr>
        <w:t xml:space="preserve"> </w:t>
      </w:r>
      <w:r>
        <w:rPr>
          <w:rFonts w:ascii="Arial" w:hAnsi="Arial" w:eastAsia="Times New Roman" w:cs="Arial"/>
          <w:b/>
          <w:sz w:val="20"/>
          <w:szCs w:val="20"/>
          <w:lang w:val="en-GB"/>
        </w:rPr>
        <w:t xml:space="preserve">Industrija</w:t>
      </w:r>
      <w:r>
        <w:rPr>
          <w:rFonts w:ascii="Arial" w:hAnsi="Arial" w:eastAsia="Times New Roman" w:cs="Arial"/>
          <w:b/>
          <w:sz w:val="20"/>
          <w:szCs w:val="20"/>
          <w:lang w:val="en-GB"/>
        </w:rPr>
        <w:t xml:space="preserve"> </w:t>
      </w:r>
      <w:r>
        <w:rPr>
          <w:rFonts w:ascii="Arial" w:hAnsi="Arial" w:eastAsia="Times New Roman" w:cs="Arial"/>
          <w:b/>
          <w:sz w:val="20"/>
          <w:szCs w:val="20"/>
          <w:lang w:val="en-GB"/>
        </w:rPr>
        <w:t xml:space="preserve">Srbije</w:t>
      </w:r>
      <w:r>
        <w:rPr>
          <w:rFonts w:ascii="Arial" w:hAnsi="Arial" w:eastAsia="Times New Roman" w:cs="Arial"/>
          <w:b/>
          <w:sz w:val="20"/>
          <w:szCs w:val="20"/>
          <w:lang w:val="en-GB"/>
        </w:rPr>
        <w:t xml:space="preserve"> Joint Stock Company, Novi Sad (</w:t>
      </w:r>
      <w:r>
        <w:rPr>
          <w:rFonts w:ascii="Arial" w:hAnsi="Arial" w:eastAsia="Times New Roman" w:cs="Arial"/>
          <w:sz w:val="20"/>
          <w:szCs w:val="20"/>
          <w:lang w:val="en-GB"/>
        </w:rPr>
        <w:t xml:space="preserve">hereinafter: </w:t>
      </w:r>
      <w:r>
        <w:rPr>
          <w:rFonts w:ascii="Arial" w:hAnsi="Arial" w:eastAsia="Times New Roman" w:cs="Arial"/>
          <w:sz w:val="20"/>
          <w:szCs w:val="20"/>
          <w:lang w:val="en-GB"/>
        </w:rPr>
        <w:t xml:space="preserve">the</w:t>
      </w:r>
      <w:r>
        <w:rPr>
          <w:rFonts w:ascii="Arial" w:hAnsi="Arial" w:eastAsia="Times New Roman" w:cs="Arial"/>
          <w:sz w:val="20"/>
          <w:szCs w:val="20"/>
          <w:lang w:val="en-GB"/>
        </w:rPr>
        <w:t xml:space="preserve"> Client), </w:t>
      </w:r>
      <w:permStart w:edGrp="everyone" w:id="529280920"/>
      <w:r>
        <w:rPr>
          <w:rFonts w:ascii="Arial" w:hAnsi="Arial" w:eastAsia="Times New Roman" w:cs="Arial"/>
          <w:sz w:val="20"/>
          <w:szCs w:val="20"/>
          <w:lang w:val="en-GB"/>
        </w:rPr>
        <w:t xml:space="preserve">represent herein by </w:t>
      </w:r>
      <w:r>
        <w:rPr>
          <w:rFonts w:ascii="Arial" w:hAnsi="Arial" w:cs="Arial"/>
          <w:sz w:val="20"/>
          <w:szCs w:val="20"/>
          <w:lang w:val="sr-Cyrl-RS"/>
        </w:rPr>
        <w:t xml:space="preserve">${</w:t>
      </w:r>
      <w:r>
        <w:rPr>
          <w:rFonts w:ascii="Arial" w:hAnsi="Arial" w:cs="Arial"/>
          <w:sz w:val="20"/>
          <w:szCs w:val="20"/>
          <w:lang w:val="sr-Cyrl-RS"/>
        </w:rPr>
        <w:t xml:space="preserve">zastupnik_nis_sve</w:t>
      </w:r>
      <w:r>
        <w:rPr>
          <w:rFonts w:ascii="Arial" w:hAnsi="Arial" w:cs="Arial"/>
          <w:sz w:val="20"/>
          <w:szCs w:val="20"/>
          <w:lang w:val="sr-Cyrl-RS"/>
        </w:rPr>
        <w:t xml:space="preserve">}</w:t>
      </w:r>
      <w:r>
        <w:rPr>
          <w:rFonts w:ascii="Arial" w:hAnsi="Arial" w:eastAsia="Times New Roman" w:cs="Arial"/>
          <w:sz w:val="20"/>
          <w:szCs w:val="20"/>
          <w:lang w:val="en-GB"/>
        </w:rPr>
        <w:t xml:space="preserve">, on the basis of the Power of Attorney No.   </w:t>
      </w:r>
      <w:r>
        <w:rPr>
          <w:rFonts w:ascii="Arial" w:hAnsi="Arial" w:cs="Arial"/>
          <w:sz w:val="20"/>
          <w:szCs w:val="20"/>
          <w:lang w:val="sr-Cyrl-RS"/>
        </w:rPr>
        <w:t xml:space="preserve">${</w:t>
      </w:r>
      <w:r>
        <w:rPr>
          <w:rFonts w:ascii="Arial" w:hAnsi="Arial" w:cs="Arial"/>
          <w:sz w:val="20"/>
          <w:szCs w:val="20"/>
          <w:lang w:val="sr-Cyrl-RS"/>
        </w:rPr>
        <w:t xml:space="preserve">ugovor_punomocje_broj</w:t>
      </w:r>
      <w:r>
        <w:rPr>
          <w:rFonts w:ascii="Arial" w:hAnsi="Arial" w:cs="Arial"/>
          <w:sz w:val="20"/>
          <w:szCs w:val="20"/>
          <w:lang w:val="sr-Cyrl-RS"/>
        </w:rPr>
        <w:t xml:space="preserve">}</w:t>
      </w:r>
      <w:r>
        <w:rPr>
          <w:rFonts w:ascii="Arial" w:hAnsi="Arial" w:eastAsia="Times New Roman" w:cs="Arial"/>
          <w:sz w:val="20"/>
          <w:szCs w:val="20"/>
          <w:lang w:val="en-GB"/>
        </w:rPr>
        <w:t xml:space="preserve">, </w:t>
      </w:r>
      <w:permEnd w:id="529280920"/>
      <w:r>
        <w:rPr>
          <w:rFonts w:ascii="Arial" w:hAnsi="Arial" w:eastAsia="Times New Roman" w:cs="Arial"/>
          <w:sz w:val="20"/>
          <w:szCs w:val="20"/>
          <w:lang w:val="en-GB"/>
        </w:rPr>
      </w:r>
    </w:p>
    <w:p>
      <w:pPr>
        <w:pBdr/>
        <w:spacing w:after="0" w:line="240" w:lineRule="auto"/>
        <w:ind w:left="284"/>
        <w:jc w:val="both"/>
        <w:rPr>
          <w:rFonts w:ascii="Arial" w:hAnsi="Arial" w:eastAsia="Times New Roman" w:cs="Arial"/>
          <w:sz w:val="20"/>
          <w:szCs w:val="20"/>
          <w:lang w:val="en-GB"/>
        </w:rPr>
      </w:pPr>
      <w:r>
        <w:rPr>
          <w:rFonts w:ascii="Arial" w:hAnsi="Arial" w:eastAsia="Times New Roman" w:cs="Arial"/>
          <w:sz w:val="20"/>
          <w:szCs w:val="20"/>
          <w:lang w:val="en-GB"/>
        </w:rPr>
        <w:t xml:space="preserve">  and</w:t>
      </w:r>
      <w:r>
        <w:rPr>
          <w:rFonts w:ascii="Arial" w:hAnsi="Arial" w:eastAsia="Times New Roman" w:cs="Arial"/>
          <w:sz w:val="20"/>
          <w:szCs w:val="20"/>
          <w:lang w:val="en-GB"/>
        </w:rPr>
      </w:r>
    </w:p>
    <w:p>
      <w:pPr>
        <w:pBdr/>
        <w:spacing w:after="0" w:line="240" w:lineRule="auto"/>
        <w:ind w:right="270" w:left="284"/>
        <w:jc w:val="both"/>
        <w:rPr>
          <w:rFonts w:ascii="Arial" w:hAnsi="Arial" w:eastAsia="Times New Roman" w:cs="Arial"/>
          <w:sz w:val="20"/>
          <w:szCs w:val="20"/>
          <w:lang w:val="en-GB"/>
        </w:rPr>
      </w:pPr>
      <w:r>
        <w:rPr>
          <w:rFonts w:ascii="Arial" w:hAnsi="Arial" w:eastAsia="Times New Roman" w:cs="Arial"/>
          <w:sz w:val="20"/>
          <w:szCs w:val="20"/>
          <w:lang w:val="en-GB"/>
        </w:rPr>
        <w:t xml:space="preserve"> </w:t>
      </w:r>
      <w:permStart w:edGrp="everyone" w:id="949945618"/>
      <w:r>
        <w:rPr>
          <w:rFonts w:ascii="Arial" w:hAnsi="Arial" w:cs="Arial"/>
          <w:sz w:val="20"/>
          <w:szCs w:val="20"/>
          <w:lang w:val="sr-Cyrl-RS"/>
        </w:rPr>
        <w:t xml:space="preserve">${</w:t>
      </w:r>
      <w:r>
        <w:rPr>
          <w:rFonts w:ascii="Arial" w:hAnsi="Arial" w:cs="Arial"/>
          <w:sz w:val="20"/>
          <w:szCs w:val="20"/>
          <w:lang w:val="sr-Cyrl-RS"/>
        </w:rPr>
        <w:t xml:space="preserve">komitent_naziv</w:t>
      </w:r>
      <w:r>
        <w:rPr>
          <w:rFonts w:ascii="Arial" w:hAnsi="Arial" w:cs="Arial"/>
          <w:sz w:val="20"/>
          <w:szCs w:val="20"/>
          <w:lang w:val="sr-Cyrl-RS"/>
        </w:rPr>
        <w:t xml:space="preserve">}</w:t>
      </w:r>
      <w:r>
        <w:rPr>
          <w:rFonts w:ascii="Arial" w:hAnsi="Arial" w:cs="Arial"/>
          <w:sz w:val="20"/>
          <w:szCs w:val="20"/>
        </w:rPr>
        <w:t xml:space="preserve">,</w:t>
      </w:r>
      <w:r>
        <w:rPr>
          <w:rFonts w:ascii="Arial" w:hAnsi="Arial" w:eastAsia="Times New Roman" w:cs="Arial"/>
          <w:sz w:val="20"/>
          <w:szCs w:val="20"/>
          <w:lang w:val="en-GB"/>
        </w:rPr>
        <w:t xml:space="preserve"> </w:t>
      </w:r>
      <w:r>
        <w:rPr>
          <w:rFonts w:ascii="Arial" w:hAnsi="Arial" w:cs="Arial"/>
          <w:sz w:val="20"/>
          <w:szCs w:val="20"/>
          <w:lang w:val="sr-Cyrl-RS"/>
        </w:rPr>
        <w:t xml:space="preserve">${</w:t>
      </w:r>
      <w:r>
        <w:rPr>
          <w:rFonts w:ascii="Arial" w:hAnsi="Arial" w:cs="Arial"/>
          <w:sz w:val="20"/>
          <w:szCs w:val="20"/>
          <w:lang w:val="sr-Cyrl-RS"/>
        </w:rPr>
        <w:t xml:space="preserve">komitent_sediste</w:t>
      </w:r>
      <w:r>
        <w:rPr>
          <w:rFonts w:ascii="Arial" w:hAnsi="Arial" w:cs="Arial"/>
          <w:sz w:val="20"/>
          <w:szCs w:val="20"/>
          <w:lang w:val="sr-Cyrl-RS"/>
        </w:rPr>
        <w:t xml:space="preserve">}</w:t>
      </w:r>
      <w:r>
        <w:rPr>
          <w:rFonts w:ascii="Arial" w:hAnsi="Arial" w:cs="Arial"/>
          <w:sz w:val="20"/>
          <w:szCs w:val="20"/>
        </w:rPr>
        <w:t xml:space="preserve">,</w:t>
      </w:r>
      <w:r>
        <w:rPr>
          <w:rFonts w:ascii="Arial" w:hAnsi="Arial" w:eastAsia="Times New Roman" w:cs="Arial"/>
          <w:sz w:val="20"/>
          <w:szCs w:val="20"/>
          <w:lang w:val="en-GB"/>
        </w:rPr>
        <w:t xml:space="preserve"> </w:t>
      </w:r>
      <w:r>
        <w:rPr>
          <w:rFonts w:ascii="Arial" w:hAnsi="Arial" w:cs="Arial"/>
          <w:sz w:val="20"/>
          <w:szCs w:val="20"/>
          <w:lang w:val="sr-Cyrl-RS"/>
        </w:rPr>
        <w:t xml:space="preserve">${</w:t>
      </w:r>
      <w:r>
        <w:rPr>
          <w:rFonts w:ascii="Arial" w:hAnsi="Arial" w:cs="Arial"/>
          <w:sz w:val="20"/>
          <w:szCs w:val="20"/>
          <w:lang w:val="sr-Cyrl-RS"/>
        </w:rPr>
        <w:t xml:space="preserve">komitent_mb</w:t>
      </w:r>
      <w:r>
        <w:rPr>
          <w:rFonts w:ascii="Arial" w:hAnsi="Arial" w:cs="Arial"/>
          <w:sz w:val="20"/>
          <w:szCs w:val="20"/>
          <w:lang w:val="sr-Cyrl-RS"/>
        </w:rPr>
        <w:t xml:space="preserve">}</w:t>
      </w:r>
      <w:r>
        <w:rPr>
          <w:rFonts w:ascii="Arial" w:hAnsi="Arial" w:cs="Arial"/>
          <w:sz w:val="20"/>
          <w:szCs w:val="20"/>
        </w:rPr>
        <w:t xml:space="preserve">, </w:t>
      </w:r>
      <w:r>
        <w:rPr>
          <w:rFonts w:ascii="Arial" w:hAnsi="Arial" w:cs="Arial"/>
          <w:sz w:val="20"/>
          <w:szCs w:val="20"/>
          <w:lang w:val="sr-Cyrl-RS"/>
        </w:rPr>
        <w:t xml:space="preserve">${</w:t>
      </w:r>
      <w:r>
        <w:rPr>
          <w:rFonts w:ascii="Arial" w:hAnsi="Arial" w:cs="Arial"/>
          <w:sz w:val="20"/>
          <w:szCs w:val="20"/>
          <w:lang w:val="sr-Cyrl-RS"/>
        </w:rPr>
        <w:t xml:space="preserve">komitent_pib</w:t>
      </w:r>
      <w:r>
        <w:rPr>
          <w:rFonts w:ascii="Arial" w:hAnsi="Arial" w:cs="Arial"/>
          <w:sz w:val="20"/>
          <w:szCs w:val="20"/>
          <w:lang w:val="sr-Cyrl-RS"/>
        </w:rPr>
        <w:t xml:space="preserve">}</w:t>
      </w:r>
      <w:r>
        <w:rPr>
          <w:rFonts w:ascii="Arial" w:hAnsi="Arial" w:eastAsia="Times New Roman" w:cs="Arial"/>
          <w:sz w:val="20"/>
          <w:szCs w:val="20"/>
          <w:lang w:val="en-GB"/>
        </w:rPr>
        <w:t xml:space="preserve">, (hereinafter: the Contractor),  represented herein by </w:t>
      </w:r>
      <w:r>
        <w:rPr>
          <w:rFonts w:ascii="Arial" w:hAnsi="Arial" w:cs="Arial"/>
          <w:sz w:val="20"/>
          <w:szCs w:val="20"/>
          <w:lang w:val="sr-Cyrl-RS"/>
        </w:rPr>
        <w:t xml:space="preserve">${</w:t>
      </w:r>
      <w:r>
        <w:rPr>
          <w:rFonts w:ascii="Arial" w:hAnsi="Arial" w:cs="Arial"/>
          <w:sz w:val="20"/>
          <w:szCs w:val="20"/>
          <w:lang w:val="sr-Cyrl-RS"/>
        </w:rPr>
        <w:t xml:space="preserve">zastupnik_komitent_sve</w:t>
      </w:r>
      <w:r>
        <w:rPr>
          <w:rFonts w:ascii="Arial" w:hAnsi="Arial" w:cs="Arial"/>
          <w:sz w:val="20"/>
          <w:szCs w:val="20"/>
          <w:lang w:val="sr-Cyrl-RS"/>
        </w:rPr>
        <w:t xml:space="preserve">}</w:t>
      </w:r>
      <w:r>
        <w:rPr>
          <w:rFonts w:ascii="Arial" w:hAnsi="Arial" w:cs="Arial"/>
          <w:sz w:val="20"/>
          <w:szCs w:val="20"/>
        </w:rPr>
        <w:t xml:space="preserve">,</w:t>
      </w:r>
      <w:r>
        <w:rPr>
          <w:rFonts w:ascii="Arial" w:hAnsi="Arial" w:eastAsia="Times New Roman" w:cs="Arial"/>
          <w:sz w:val="20"/>
          <w:szCs w:val="20"/>
          <w:lang w:val="en-GB"/>
        </w:rPr>
        <w:t xml:space="preserve"> on the basis of ___________________, </w:t>
      </w:r>
      <w:r>
        <w:rPr>
          <w:rFonts w:ascii="Arial" w:hAnsi="Arial" w:eastAsia="Times New Roman" w:cs="Arial"/>
          <w:sz w:val="20"/>
          <w:szCs w:val="20"/>
          <w:lang w:val="en-GB"/>
        </w:rPr>
      </w:r>
    </w:p>
    <w:p>
      <w:pPr>
        <w:pBdr/>
        <w:spacing w:after="0" w:line="240" w:lineRule="auto"/>
        <w:ind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p>
      <w:pPr>
        <w:pBdr/>
        <w:spacing w:after="0" w:line="240" w:lineRule="auto"/>
        <w:ind w:right="270" w:left="284"/>
        <w:rPr>
          <w:rFonts w:ascii="Arial" w:hAnsi="Arial" w:eastAsia="Times New Roman" w:cs="Arial"/>
          <w:sz w:val="20"/>
          <w:szCs w:val="20"/>
          <w:lang w:val="en-GB"/>
        </w:rPr>
      </w:pPr>
      <w:r>
        <w:rPr>
          <w:rFonts w:ascii="Arial" w:hAnsi="Arial" w:eastAsia="Times New Roman" w:cs="Arial"/>
          <w:sz w:val="20"/>
          <w:szCs w:val="20"/>
          <w:lang w:val="en-GB"/>
        </w:rPr>
        <w:t xml:space="preserve">The Parties with this Annex, which is an integral part of the Service Procurement Contract No._________ dated ____________, specify the subject of the Contract, price and terms of payment, delivery deadlines as well as mutual obligations and r</w:t>
      </w:r>
      <w:r>
        <w:rPr>
          <w:rFonts w:ascii="Arial" w:hAnsi="Arial" w:eastAsia="Times New Roman" w:cs="Arial"/>
          <w:sz w:val="20"/>
          <w:szCs w:val="20"/>
          <w:lang w:val="en-GB"/>
        </w:rPr>
        <w:t xml:space="preserve">esponsibilities of the Parties and other organizational and technical elements (scope and manner of execution, organization and model of work, service quality assurance and penalties, as well as details on service delivery phases, output strategies, etc.).</w:t>
      </w:r>
      <w:r>
        <w:rPr>
          <w:rFonts w:ascii="Arial" w:hAnsi="Arial" w:eastAsia="Times New Roman" w:cs="Arial"/>
          <w:sz w:val="20"/>
          <w:szCs w:val="20"/>
          <w:lang w:val="en-GB"/>
        </w:rPr>
      </w:r>
    </w:p>
    <w:p>
      <w:pPr>
        <w:pBdr/>
        <w:spacing w:after="0" w:line="240" w:lineRule="auto"/>
        <w:ind w:right="-143" w:left="284"/>
        <w:jc w:val="both"/>
        <w:rPr>
          <w:rFonts w:ascii="Arial" w:hAnsi="Arial" w:eastAsia="Times New Roman" w:cs="Arial"/>
          <w:b/>
          <w:bCs/>
          <w:i/>
          <w:sz w:val="20"/>
          <w:szCs w:val="20"/>
          <w:lang w:val="en-GB"/>
        </w:rPr>
      </w:pPr>
      <w:r>
        <w:rPr>
          <w:rFonts w:ascii="Arial" w:hAnsi="Arial" w:eastAsia="Times New Roman" w:cs="Arial"/>
          <w:b/>
          <w:bCs/>
          <w:i/>
          <w:sz w:val="20"/>
          <w:szCs w:val="20"/>
          <w:lang w:val="en-GB"/>
        </w:rPr>
      </w:r>
      <w:r>
        <w:rPr>
          <w:rFonts w:ascii="Arial" w:hAnsi="Arial" w:eastAsia="Times New Roman" w:cs="Arial"/>
          <w:b/>
          <w:bCs/>
          <w:i/>
          <w:sz w:val="20"/>
          <w:szCs w:val="20"/>
          <w:lang w:val="en-GB"/>
        </w:rPr>
      </w:r>
    </w:p>
    <w:p>
      <w:pPr>
        <w:pBdr/>
        <w:spacing w:after="0" w:line="240" w:lineRule="auto"/>
        <w:ind w:right="270" w:left="284"/>
        <w:rPr>
          <w:rFonts w:ascii="Arial" w:hAnsi="Arial" w:eastAsia="Times New Roman" w:cs="Arial"/>
          <w:sz w:val="20"/>
          <w:szCs w:val="20"/>
          <w:lang w:val="en-GB"/>
        </w:rPr>
      </w:pPr>
      <w:r>
        <w:rPr>
          <w:rFonts w:ascii="Arial" w:hAnsi="Arial" w:eastAsia="Times New Roman" w:cs="Arial"/>
          <w:sz w:val="20"/>
          <w:szCs w:val="20"/>
          <w:lang w:val="en-GB"/>
        </w:rPr>
        <w:t xml:space="preserve">The Parties agree, define, and accept as a rule the following:</w:t>
      </w:r>
      <w:r>
        <w:rPr>
          <w:rFonts w:ascii="Arial" w:hAnsi="Arial" w:eastAsia="Times New Roman" w:cs="Arial"/>
          <w:sz w:val="20"/>
          <w:szCs w:val="20"/>
          <w:lang w:val="en-GB"/>
        </w:rPr>
      </w:r>
    </w:p>
    <w:p>
      <w:pPr>
        <w:pBdr/>
        <w:spacing w:after="0" w:line="240" w:lineRule="auto"/>
        <w:ind w:left="284"/>
        <w:rPr>
          <w:rFonts w:ascii="Arial" w:hAnsi="Arial" w:eastAsia="Times New Roman" w:cs="Arial"/>
          <w:sz w:val="2"/>
          <w:szCs w:val="20"/>
          <w:lang w:val="en-GB"/>
        </w:rPr>
      </w:pPr>
      <w:r>
        <w:rPr>
          <w:rFonts w:ascii="Arial" w:hAnsi="Arial" w:eastAsia="Times New Roman" w:cs="Arial"/>
          <w:sz w:val="2"/>
          <w:szCs w:val="20"/>
          <w:lang w:val="en-GB"/>
        </w:rPr>
        <w:t xml:space="preserve">                                                                                                        </w:t>
      </w:r>
      <w:r>
        <w:rPr>
          <w:rFonts w:ascii="Arial" w:hAnsi="Arial" w:eastAsia="Times New Roman" w:cs="Arial"/>
          <w:sz w:val="2"/>
          <w:szCs w:val="20"/>
          <w:lang w:val="en-GB"/>
        </w:rPr>
        <w:t xml:space="preserve">                                                                                                                                                                                                                                                                </w:t>
      </w:r>
      <w:r>
        <w:rPr>
          <w:rFonts w:ascii="Arial" w:hAnsi="Arial" w:eastAsia="Times New Roman" w:cs="Arial"/>
          <w:sz w:val="2"/>
          <w:szCs w:val="20"/>
          <w:lang w:val="en-GB"/>
        </w:rPr>
        <w:t xml:space="preserve">                                                                                                                                                                                                                                                                </w:t>
      </w:r>
      <w:r>
        <w:rPr>
          <w:rFonts w:ascii="Arial" w:hAnsi="Arial" w:eastAsia="Times New Roman" w:cs="Arial"/>
          <w:sz w:val="2"/>
          <w:szCs w:val="20"/>
          <w:lang w:val="en-GB"/>
        </w:rPr>
        <w:t xml:space="preserve">                                                                                                                                                                                                                                                                </w:t>
      </w:r>
      <w:r>
        <w:rPr>
          <w:rFonts w:ascii="Arial" w:hAnsi="Arial" w:eastAsia="Times New Roman" w:cs="Arial"/>
          <w:sz w:val="2"/>
          <w:szCs w:val="20"/>
          <w:lang w:val="en-GB"/>
        </w:rPr>
        <w:t xml:space="preserve">                                                                                                                                                                                                                                                                </w:t>
      </w:r>
      <w:r>
        <w:rPr>
          <w:rFonts w:ascii="Arial" w:hAnsi="Arial" w:eastAsia="Times New Roman" w:cs="Arial"/>
          <w:sz w:val="2"/>
          <w:szCs w:val="20"/>
          <w:lang w:val="en-GB"/>
        </w:rPr>
        <w:t xml:space="preserve">                                                                                                                                                                                                                                                                </w:t>
      </w:r>
      <w:r>
        <w:rPr>
          <w:rFonts w:ascii="Arial" w:hAnsi="Arial" w:eastAsia="Times New Roman" w:cs="Arial"/>
          <w:sz w:val="2"/>
          <w:szCs w:val="20"/>
          <w:lang w:val="en-GB"/>
        </w:rPr>
        <w:t xml:space="preserve">                                                                                                                                                                                                                                                                </w:t>
      </w:r>
      <w:r>
        <w:rPr>
          <w:rFonts w:ascii="Arial" w:hAnsi="Arial" w:eastAsia="Times New Roman" w:cs="Arial"/>
          <w:sz w:val="2"/>
          <w:szCs w:val="20"/>
          <w:lang w:val="en-GB"/>
        </w:rPr>
      </w:r>
    </w:p>
    <w:p>
      <w:pPr>
        <w:pBdr/>
        <w:spacing w:after="0" w:line="240" w:lineRule="auto"/>
        <w:ind w:left="284"/>
        <w:rPr>
          <w:rFonts w:ascii="Arial" w:hAnsi="Arial" w:eastAsia="Times New Roman" w:cs="Arial"/>
          <w:sz w:val="2"/>
          <w:szCs w:val="20"/>
          <w:lang w:val="en-GB"/>
        </w:rPr>
      </w:pPr>
      <w:r>
        <w:rPr>
          <w:rFonts w:ascii="Arial" w:hAnsi="Arial" w:eastAsia="Times New Roman" w:cs="Arial"/>
          <w:sz w:val="2"/>
          <w:szCs w:val="20"/>
          <w:lang w:val="en-GB"/>
        </w:rPr>
        <w:t xml:space="preserve">                           </w:t>
      </w:r>
      <w:r>
        <w:rPr>
          <w:rFonts w:ascii="Arial" w:hAnsi="Arial" w:eastAsia="Times New Roman" w:cs="Arial"/>
          <w:sz w:val="2"/>
          <w:szCs w:val="20"/>
          <w:lang w:val="en-GB"/>
        </w:rPr>
      </w:r>
    </w:p>
    <w:p>
      <w:pPr>
        <w:pBdr/>
        <w:spacing w:after="0" w:line="240" w:lineRule="auto"/>
        <w:ind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p>
      <w:pPr>
        <w:numPr>
          <w:ilvl w:val="0"/>
          <w:numId w:val="1"/>
        </w:numPr>
        <w:pBdr/>
        <w:spacing w:after="0" w:line="240" w:lineRule="auto"/>
        <w:ind w:firstLine="0" w:left="284"/>
        <w:contextualSpacing w:val="true"/>
        <w:jc w:val="both"/>
        <w:rPr>
          <w:rFonts w:ascii="Arial" w:hAnsi="Arial" w:eastAsia="Times New Roman" w:cs="Arial"/>
          <w:b/>
          <w:sz w:val="20"/>
          <w:szCs w:val="20"/>
          <w:lang w:val="en-GB"/>
        </w:rPr>
      </w:pPr>
      <w:r>
        <w:rPr>
          <w:rFonts w:ascii="Arial" w:hAnsi="Arial" w:eastAsia="Times New Roman" w:cs="Arial"/>
          <w:b/>
          <w:sz w:val="20"/>
          <w:szCs w:val="20"/>
          <w:lang w:val="en-GB"/>
        </w:rPr>
        <w:t xml:space="preserve">SPECIFICATION AND PRICELIST OF THE SERVICES</w:t>
      </w:r>
      <w:r>
        <w:rPr>
          <w:rFonts w:ascii="Arial" w:hAnsi="Arial" w:eastAsia="Times New Roman" w:cs="Arial"/>
          <w:b/>
          <w:sz w:val="20"/>
          <w:szCs w:val="20"/>
          <w:lang w:val="en-GB"/>
        </w:rPr>
      </w:r>
    </w:p>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In accordance with the previous paragraph, the Parties agree that the Contractor is obliged to provide the following services for the Client’s needs:</w:t>
      </w:r>
      <w:r>
        <w:rPr>
          <w:rFonts w:ascii="Arial" w:hAnsi="Arial" w:eastAsia="Times New Roman" w:cs="Arial"/>
          <w:sz w:val="20"/>
          <w:szCs w:val="20"/>
          <w:lang w:val="en-GB"/>
        </w:rPr>
      </w:r>
    </w:p>
    <w:p>
      <w:pPr>
        <w:pBdr/>
        <w:spacing w:after="0" w:line="240" w:lineRule="auto"/>
        <w:ind w:left="284"/>
        <w:rPr>
          <w:rFonts w:ascii="Arial" w:hAnsi="Arial" w:eastAsia="Times New Roman" w:cs="Arial"/>
          <w:b/>
          <w:sz w:val="20"/>
          <w:szCs w:val="20"/>
          <w:lang w:val="en-GB"/>
        </w:rPr>
      </w:pPr>
      <w:r>
        <w:rPr>
          <w:rFonts w:ascii="Arial" w:hAnsi="Arial" w:eastAsia="Times New Roman" w:cs="Arial"/>
          <w:b/>
          <w:sz w:val="20"/>
          <w:szCs w:val="20"/>
          <w:lang w:val="en-GB"/>
        </w:rPr>
      </w:r>
      <w:r>
        <w:rPr>
          <w:rFonts w:ascii="Arial" w:hAnsi="Arial" w:eastAsia="Times New Roman" w:cs="Arial"/>
          <w:b/>
          <w:sz w:val="20"/>
          <w:szCs w:val="20"/>
          <w:lang w:val="en-GB"/>
        </w:rPr>
      </w:r>
    </w:p>
    <w:tbl>
      <w:tblPr>
        <w:jc w:val="center"/>
        <w:tblW w:w="13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27"/>
        <w:gridCol w:w="1081"/>
        <w:gridCol w:w="3690"/>
        <w:gridCol w:w="1620"/>
        <w:gridCol w:w="1507"/>
        <w:gridCol w:w="1800"/>
        <w:gridCol w:w="1530"/>
        <w:gridCol w:w="1620"/>
      </w:tblGrid>
      <w:tr>
        <w:trPr>
          <w:jc w:val="center"/>
          <w:trHeight w:val="1150"/>
        </w:trPr>
        <w:tc>
          <w:tcPr>
            <w:shd w:val="clear" w:color="auto" w:fill="bfbfbf" w:themeFill="background1" w:themeFillShade="BF"/>
            <w:tcBorders/>
            <w:tcW w:w="827" w:type="dxa"/>
            <w:vAlign w:val="center"/>
            <w:textDirection w:val="lrTb"/>
            <w:noWrap w:val="false"/>
          </w:tcPr>
          <w:p>
            <w:pPr>
              <w:pBdr/>
              <w:spacing w:after="0" w:line="240" w:lineRule="auto"/>
              <w:ind w:right="-143"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Ref. no.</w:t>
            </w:r>
            <w:r>
              <w:rPr>
                <w:rFonts w:ascii="Arial" w:hAnsi="Arial" w:eastAsia="Times New Roman" w:cs="Arial"/>
                <w:b/>
                <w:sz w:val="18"/>
                <w:szCs w:val="20"/>
                <w:lang w:val="en-GB"/>
              </w:rPr>
            </w:r>
          </w:p>
        </w:tc>
        <w:tc>
          <w:tcPr>
            <w:shd w:val="clear" w:color="auto" w:fill="bfbfbf" w:themeFill="background1" w:themeFillShade="BF"/>
            <w:tcBorders/>
            <w:tcW w:w="1081" w:type="dxa"/>
            <w:vAlign w:val="center"/>
            <w:textDirection w:val="lrTb"/>
            <w:noWrap w:val="false"/>
          </w:tcPr>
          <w:p>
            <w:pPr>
              <w:pBdr/>
              <w:spacing w:after="0" w:line="240" w:lineRule="auto"/>
              <w:ind w:right="-143"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Service code</w:t>
            </w:r>
            <w:r>
              <w:rPr>
                <w:rFonts w:ascii="Arial" w:hAnsi="Arial" w:eastAsia="Times New Roman" w:cs="Arial"/>
                <w:b/>
                <w:sz w:val="18"/>
                <w:szCs w:val="20"/>
                <w:lang w:val="en-GB"/>
              </w:rPr>
            </w:r>
          </w:p>
        </w:tc>
        <w:tc>
          <w:tcPr>
            <w:shd w:val="clear" w:color="auto" w:fill="bfbfbf" w:themeFill="background1" w:themeFillShade="BF"/>
            <w:tcBorders>
              <w:right w:val="single" w:color="auto" w:sz="4" w:space="0"/>
            </w:tcBorders>
            <w:tcW w:w="3690" w:type="dxa"/>
            <w:vAlign w:val="center"/>
            <w:textDirection w:val="lrTb"/>
            <w:noWrap w:val="false"/>
          </w:tcPr>
          <w:p>
            <w:pPr>
              <w:pBdr/>
              <w:spacing w:after="0" w:line="240" w:lineRule="auto"/>
              <w:ind w:right="-143"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Service</w:t>
            </w:r>
            <w:r>
              <w:rPr>
                <w:rFonts w:ascii="Arial" w:hAnsi="Arial" w:eastAsia="Times New Roman" w:cs="Arial"/>
                <w:b/>
                <w:sz w:val="18"/>
                <w:szCs w:val="20"/>
                <w:lang w:val="en-GB"/>
              </w:rPr>
            </w:r>
          </w:p>
          <w:p>
            <w:pPr>
              <w:pBdr/>
              <w:spacing w:after="0" w:line="240" w:lineRule="auto"/>
              <w:ind w:right="-143" w:left="284"/>
              <w:jc w:val="center"/>
              <w:rPr>
                <w:rFonts w:ascii="Arial" w:hAnsi="Arial" w:eastAsia="Times New Roman" w:cs="Arial"/>
                <w:b/>
                <w:sz w:val="18"/>
                <w:szCs w:val="20"/>
                <w:lang w:val="en-GB"/>
              </w:rPr>
            </w:pPr>
            <w:r>
              <w:rPr>
                <w:rFonts w:ascii="Arial" w:hAnsi="Arial" w:eastAsia="Times New Roman" w:cs="Arial"/>
                <w:b/>
                <w:sz w:val="18"/>
                <w:szCs w:val="20"/>
                <w:lang w:val="en-GB"/>
              </w:rPr>
            </w:r>
            <w:r>
              <w:rPr>
                <w:rFonts w:ascii="Arial" w:hAnsi="Arial" w:eastAsia="Times New Roman" w:cs="Arial"/>
                <w:b/>
                <w:sz w:val="18"/>
                <w:szCs w:val="20"/>
                <w:lang w:val="en-GB"/>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1620" w:type="dxa"/>
            <w:vAlign w:val="center"/>
            <w:textDirection w:val="lrTb"/>
            <w:noWrap w:val="false"/>
          </w:tcPr>
          <w:p>
            <w:pPr>
              <w:pBdr/>
              <w:spacing w:after="0" w:line="240" w:lineRule="auto"/>
              <w:ind w:right="-143"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Unit of measurement</w:t>
            </w:r>
            <w:r>
              <w:rPr>
                <w:rFonts w:ascii="Arial" w:hAnsi="Arial" w:eastAsia="Times New Roman" w:cs="Arial"/>
                <w:b/>
                <w:sz w:val="18"/>
                <w:szCs w:val="20"/>
                <w:lang w:val="en-GB"/>
              </w:rPr>
            </w:r>
          </w:p>
        </w:tc>
        <w:tc>
          <w:tcPr>
            <w:shd w:val="clear" w:color="auto" w:fill="bfbfbf" w:themeFill="background1" w:themeFillShade="BF"/>
            <w:tcBorders>
              <w:left w:val="single" w:color="auto" w:sz="4" w:space="0"/>
            </w:tcBorders>
            <w:tcW w:w="1507" w:type="dxa"/>
            <w:vAlign w:val="center"/>
            <w:textDirection w:val="lrTb"/>
            <w:noWrap w:val="false"/>
          </w:tcPr>
          <w:p>
            <w:pPr>
              <w:pBdr/>
              <w:spacing w:after="0" w:line="240" w:lineRule="auto"/>
              <w:ind w:right="-143" w:left="284"/>
              <w:jc w:val="center"/>
              <w:rPr>
                <w:rFonts w:ascii="Arial" w:hAnsi="Arial" w:eastAsia="Times New Roman" w:cs="Arial"/>
                <w:sz w:val="18"/>
                <w:szCs w:val="20"/>
                <w:lang w:val="en-GB"/>
              </w:rPr>
            </w:pPr>
            <w:r>
              <w:rPr>
                <w:rFonts w:ascii="Arial" w:hAnsi="Arial" w:eastAsia="Times New Roman" w:cs="Arial"/>
                <w:b/>
                <w:sz w:val="18"/>
                <w:szCs w:val="20"/>
                <w:lang w:val="en-GB"/>
              </w:rPr>
              <w:t xml:space="preserve">Quantity</w:t>
            </w:r>
            <w:r>
              <w:rPr>
                <w:rFonts w:ascii="Arial" w:hAnsi="Arial" w:eastAsia="Times New Roman" w:cs="Arial"/>
                <w:sz w:val="18"/>
                <w:szCs w:val="20"/>
                <w:lang w:val="en-GB"/>
              </w:rPr>
            </w:r>
          </w:p>
        </w:tc>
        <w:tc>
          <w:tcPr>
            <w:shd w:val="clear" w:color="auto" w:fill="bfbfbf" w:themeFill="background1" w:themeFillShade="BF"/>
            <w:tcBorders/>
            <w:tcW w:w="1800" w:type="dxa"/>
            <w:vAlign w:val="center"/>
            <w:textDirection w:val="lrTb"/>
            <w:noWrap w:val="false"/>
          </w:tcPr>
          <w:p>
            <w:pPr>
              <w:pBdr/>
              <w:spacing w:after="0" w:line="240" w:lineRule="auto"/>
              <w:ind w:right="72"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Unit price </w:t>
            </w:r>
            <w:r>
              <w:rPr>
                <w:rFonts w:ascii="Arial" w:hAnsi="Arial" w:eastAsia="Times New Roman" w:cs="Arial"/>
                <w:b/>
                <w:sz w:val="18"/>
                <w:szCs w:val="20"/>
                <w:lang w:val="en-GB"/>
              </w:rPr>
            </w:r>
          </w:p>
          <w:p>
            <w:pPr>
              <w:pBdr/>
              <w:spacing w:after="0" w:line="240" w:lineRule="auto"/>
              <w:ind w:right="72"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VAT excluded </w:t>
            </w:r>
            <w:r>
              <w:rPr>
                <w:rFonts w:ascii="Arial" w:hAnsi="Arial" w:eastAsia="Times New Roman" w:cs="Arial"/>
                <w:b/>
                <w:sz w:val="18"/>
                <w:szCs w:val="20"/>
                <w:lang w:val="en-GB"/>
              </w:rPr>
            </w:r>
          </w:p>
          <w:p>
            <w:pPr>
              <w:pBdr/>
              <w:spacing w:after="0" w:line="240" w:lineRule="auto"/>
              <w:ind w:right="-143"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(in ____)</w:t>
            </w:r>
            <w:r>
              <w:rPr>
                <w:rFonts w:ascii="Arial" w:hAnsi="Arial" w:eastAsia="Times New Roman" w:cs="Arial"/>
                <w:b/>
                <w:sz w:val="18"/>
                <w:szCs w:val="20"/>
                <w:lang w:val="en-GB"/>
              </w:rPr>
            </w:r>
          </w:p>
        </w:tc>
        <w:tc>
          <w:tcPr>
            <w:shd w:val="clear" w:color="auto" w:fill="bfbfbf" w:themeFill="background1" w:themeFillShade="BF"/>
            <w:tcBorders/>
            <w:tcW w:w="1530" w:type="dxa"/>
            <w:vAlign w:val="center"/>
            <w:textDirection w:val="lrTb"/>
            <w:noWrap w:val="false"/>
          </w:tcPr>
          <w:p>
            <w:pPr>
              <w:pBdr/>
              <w:spacing w:after="0" w:line="240" w:lineRule="auto"/>
              <w:ind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Total amount VAT included</w:t>
            </w:r>
            <w:r>
              <w:rPr>
                <w:rFonts w:ascii="Arial" w:hAnsi="Arial" w:eastAsia="Times New Roman" w:cs="Arial"/>
                <w:b/>
                <w:sz w:val="18"/>
                <w:szCs w:val="20"/>
                <w:lang w:val="en-GB"/>
              </w:rPr>
            </w:r>
          </w:p>
          <w:p>
            <w:pPr>
              <w:pBdr/>
              <w:spacing w:after="0" w:line="240" w:lineRule="auto"/>
              <w:ind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(in ____)</w:t>
            </w:r>
            <w:r>
              <w:rPr>
                <w:rFonts w:ascii="Arial" w:hAnsi="Arial" w:eastAsia="Times New Roman" w:cs="Arial"/>
                <w:b/>
                <w:sz w:val="18"/>
                <w:szCs w:val="20"/>
                <w:lang w:val="en-GB"/>
              </w:rPr>
            </w:r>
          </w:p>
        </w:tc>
        <w:tc>
          <w:tcPr>
            <w:shd w:val="clear" w:color="auto" w:fill="bfbfbf" w:themeFill="background1" w:themeFillShade="BF"/>
            <w:tcBorders/>
            <w:tcW w:w="1620" w:type="dxa"/>
            <w:vAlign w:val="center"/>
            <w:textDirection w:val="lrTb"/>
            <w:noWrap w:val="false"/>
          </w:tcPr>
          <w:p>
            <w:pPr>
              <w:pBdr/>
              <w:spacing w:after="0" w:line="240" w:lineRule="auto"/>
              <w:ind w:right="162" w:left="284"/>
              <w:jc w:val="center"/>
              <w:rPr>
                <w:rFonts w:ascii="Arial" w:hAnsi="Arial" w:eastAsia="Times New Roman" w:cs="Arial"/>
                <w:b/>
                <w:sz w:val="18"/>
                <w:szCs w:val="20"/>
                <w:lang w:val="en-GB"/>
              </w:rPr>
            </w:pPr>
            <w:r>
              <w:rPr>
                <w:rFonts w:ascii="Arial" w:hAnsi="Arial" w:eastAsia="Times New Roman" w:cs="Arial"/>
                <w:b/>
                <w:sz w:val="18"/>
                <w:szCs w:val="20"/>
                <w:lang w:val="en-GB"/>
              </w:rPr>
              <w:t xml:space="preserve">Service delivery deadline</w:t>
            </w:r>
            <w:r>
              <w:rPr>
                <w:rFonts w:ascii="Arial" w:hAnsi="Arial" w:eastAsia="Times New Roman" w:cs="Arial"/>
                <w:b/>
                <w:sz w:val="18"/>
                <w:szCs w:val="20"/>
                <w:lang w:val="en-GB"/>
              </w:rPr>
            </w:r>
          </w:p>
        </w:tc>
      </w:tr>
      <w:tr>
        <w:trPr>
          <w:jc w:val="center"/>
        </w:trPr>
        <w:tc>
          <w:tcPr>
            <w:shd w:val="clear" w:color="auto" w:fill="d9d9d9" w:themeFill="background1" w:themeFillShade="D9"/>
            <w:tcBorders/>
            <w:tcW w:w="827" w:type="dxa"/>
            <w:vAlign w:val="center"/>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1</w:t>
            </w:r>
            <w:r>
              <w:rPr>
                <w:rFonts w:ascii="Arial" w:hAnsi="Arial" w:eastAsia="Times New Roman" w:cs="Arial"/>
                <w:b/>
                <w:sz w:val="20"/>
                <w:szCs w:val="20"/>
                <w:lang w:val="en-GB"/>
              </w:rPr>
            </w:r>
          </w:p>
        </w:tc>
        <w:tc>
          <w:tcPr>
            <w:shd w:val="clear" w:color="auto" w:fill="d9d9d9" w:themeFill="background1" w:themeFillShade="D9"/>
            <w:tcBorders/>
            <w:tcW w:w="1081" w:type="dxa"/>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2</w:t>
            </w:r>
            <w:r>
              <w:rPr>
                <w:rFonts w:ascii="Arial" w:hAnsi="Arial" w:eastAsia="Times New Roman" w:cs="Arial"/>
                <w:b/>
                <w:sz w:val="20"/>
                <w:szCs w:val="20"/>
                <w:lang w:val="en-GB"/>
              </w:rPr>
            </w:r>
          </w:p>
        </w:tc>
        <w:tc>
          <w:tcPr>
            <w:shd w:val="clear" w:color="auto" w:fill="d9d9d9" w:themeFill="background1" w:themeFillShade="D9"/>
            <w:tcBorders/>
            <w:tcW w:w="3690" w:type="dxa"/>
            <w:vAlign w:val="center"/>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3</w:t>
            </w:r>
            <w:r>
              <w:rPr>
                <w:rFonts w:ascii="Arial" w:hAnsi="Arial" w:eastAsia="Times New Roman" w:cs="Arial"/>
                <w:b/>
                <w:sz w:val="20"/>
                <w:szCs w:val="20"/>
                <w:lang w:val="en-GB"/>
              </w:rPr>
            </w:r>
          </w:p>
        </w:tc>
        <w:tc>
          <w:tcPr>
            <w:shd w:val="clear" w:color="auto" w:fill="d9d9d9" w:themeFill="background1" w:themeFillShade="D9"/>
            <w:tcBorders>
              <w:top w:val="single" w:color="auto" w:sz="4" w:space="0"/>
            </w:tcBorders>
            <w:tcW w:w="1620" w:type="dxa"/>
            <w:vAlign w:val="center"/>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3</w:t>
            </w:r>
            <w:r>
              <w:rPr>
                <w:rFonts w:ascii="Arial" w:hAnsi="Arial" w:eastAsia="Times New Roman" w:cs="Arial"/>
                <w:b/>
                <w:sz w:val="20"/>
                <w:szCs w:val="20"/>
                <w:lang w:val="en-GB"/>
              </w:rPr>
            </w:r>
          </w:p>
        </w:tc>
        <w:tc>
          <w:tcPr>
            <w:shd w:val="clear" w:color="auto" w:fill="d9d9d9" w:themeFill="background1" w:themeFillShade="D9"/>
            <w:tcBorders/>
            <w:tcW w:w="1507" w:type="dxa"/>
            <w:vAlign w:val="center"/>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4</w:t>
            </w:r>
            <w:r>
              <w:rPr>
                <w:rFonts w:ascii="Arial" w:hAnsi="Arial" w:eastAsia="Times New Roman" w:cs="Arial"/>
                <w:b/>
                <w:sz w:val="20"/>
                <w:szCs w:val="20"/>
                <w:lang w:val="en-GB"/>
              </w:rPr>
            </w:r>
          </w:p>
        </w:tc>
        <w:tc>
          <w:tcPr>
            <w:shd w:val="clear" w:color="auto" w:fill="d9d9d9" w:themeFill="background1" w:themeFillShade="D9"/>
            <w:tcBorders/>
            <w:tcW w:w="1800" w:type="dxa"/>
            <w:vAlign w:val="center"/>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5</w:t>
            </w:r>
            <w:r>
              <w:rPr>
                <w:rFonts w:ascii="Arial" w:hAnsi="Arial" w:eastAsia="Times New Roman" w:cs="Arial"/>
                <w:b/>
                <w:sz w:val="20"/>
                <w:szCs w:val="20"/>
                <w:lang w:val="en-GB"/>
              </w:rPr>
            </w:r>
          </w:p>
        </w:tc>
        <w:tc>
          <w:tcPr>
            <w:shd w:val="clear" w:color="auto" w:fill="d9d9d9" w:themeFill="background1" w:themeFillShade="D9"/>
            <w:tcBorders/>
            <w:tcW w:w="1530" w:type="dxa"/>
            <w:vAlign w:val="center"/>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6</w:t>
            </w:r>
            <w:r>
              <w:rPr>
                <w:rFonts w:ascii="Arial" w:hAnsi="Arial" w:eastAsia="Times New Roman" w:cs="Arial"/>
                <w:b/>
                <w:sz w:val="20"/>
                <w:szCs w:val="20"/>
                <w:lang w:val="en-GB"/>
              </w:rPr>
            </w:r>
          </w:p>
        </w:tc>
        <w:tc>
          <w:tcPr>
            <w:shd w:val="clear" w:color="auto" w:fill="d9d9d9" w:themeFill="background1" w:themeFillShade="D9"/>
            <w:tcBorders/>
            <w:tcW w:w="1620" w:type="dxa"/>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7</w:t>
            </w:r>
            <w:r>
              <w:rPr>
                <w:rFonts w:ascii="Arial" w:hAnsi="Arial" w:eastAsia="Times New Roman" w:cs="Arial"/>
                <w:b/>
                <w:sz w:val="20"/>
                <w:szCs w:val="20"/>
                <w:lang w:val="en-GB"/>
              </w:rPr>
            </w:r>
          </w:p>
        </w:tc>
      </w:tr>
      <w:tr>
        <w:trPr>
          <w:jc w:val="center"/>
        </w:trPr>
        <w:tc>
          <w:tcPr>
            <w:tcBorders/>
            <w:tcW w:w="827" w:type="dxa"/>
            <w:textDirection w:val="lrTb"/>
            <w:noWrap w:val="false"/>
          </w:tcPr>
          <w:p>
            <w:pPr>
              <w:pBdr/>
              <w:spacing w:after="0" w:line="240" w:lineRule="auto"/>
              <w:ind w:right="-143" w:left="284"/>
              <w:jc w:val="center"/>
              <w:rPr>
                <w:rFonts w:ascii="Arial" w:hAnsi="Arial" w:eastAsia="Times New Roman" w:cs="Arial"/>
                <w:sz w:val="20"/>
                <w:szCs w:val="20"/>
                <w:lang w:val="en-GB"/>
              </w:rPr>
            </w:pPr>
            <w:r>
              <w:rPr>
                <w:rFonts w:ascii="Arial" w:hAnsi="Arial" w:eastAsia="Times New Roman" w:cs="Arial"/>
                <w:sz w:val="20"/>
                <w:szCs w:val="20"/>
                <w:lang w:val="en-GB"/>
              </w:rPr>
              <w:t xml:space="preserve">1</w:t>
            </w:r>
            <w:r>
              <w:rPr>
                <w:rFonts w:ascii="Arial" w:hAnsi="Arial" w:eastAsia="Times New Roman" w:cs="Arial"/>
                <w:sz w:val="20"/>
                <w:szCs w:val="20"/>
                <w:lang w:val="en-GB"/>
              </w:rPr>
            </w:r>
          </w:p>
        </w:tc>
        <w:tc>
          <w:tcPr>
            <w:tcBorders/>
            <w:tcW w:w="1081"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369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162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1507"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180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153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162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r>
      <w:tr>
        <w:trPr>
          <w:jc w:val="center"/>
        </w:trPr>
        <w:tc>
          <w:tcPr>
            <w:tcBorders>
              <w:bottom w:val="single" w:color="auto" w:sz="4" w:space="0"/>
            </w:tcBorders>
            <w:tcW w:w="827" w:type="dxa"/>
            <w:textDirection w:val="lrTb"/>
            <w:noWrap w:val="false"/>
          </w:tcPr>
          <w:p>
            <w:pPr>
              <w:pBdr/>
              <w:spacing w:after="0" w:line="240" w:lineRule="auto"/>
              <w:ind w:right="-143" w:left="284"/>
              <w:jc w:val="center"/>
              <w:rPr>
                <w:rFonts w:ascii="Arial" w:hAnsi="Arial" w:eastAsia="Times New Roman" w:cs="Arial"/>
                <w:sz w:val="20"/>
                <w:szCs w:val="20"/>
                <w:lang w:val="en-GB"/>
              </w:rPr>
            </w:pPr>
            <w:r>
              <w:rPr>
                <w:rFonts w:ascii="Arial" w:hAnsi="Arial" w:eastAsia="Times New Roman" w:cs="Arial"/>
                <w:sz w:val="20"/>
                <w:szCs w:val="20"/>
                <w:lang w:val="en-GB"/>
              </w:rPr>
              <w:t xml:space="preserve">2</w:t>
            </w:r>
            <w:r>
              <w:rPr>
                <w:rFonts w:ascii="Arial" w:hAnsi="Arial" w:eastAsia="Times New Roman" w:cs="Arial"/>
                <w:sz w:val="20"/>
                <w:szCs w:val="20"/>
                <w:lang w:val="en-GB"/>
              </w:rPr>
            </w:r>
          </w:p>
        </w:tc>
        <w:tc>
          <w:tcPr>
            <w:tcBorders>
              <w:bottom w:val="single" w:color="auto" w:sz="4" w:space="0"/>
            </w:tcBorders>
            <w:tcW w:w="1081"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369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62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507"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80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153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62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r>
      <w:tr>
        <w:trPr>
          <w:jc w:val="center"/>
        </w:trPr>
        <w:tc>
          <w:tcPr>
            <w:tcBorders>
              <w:bottom w:val="single" w:color="auto" w:sz="4" w:space="0"/>
            </w:tcBorders>
            <w:tcW w:w="827" w:type="dxa"/>
            <w:textDirection w:val="lrTb"/>
            <w:noWrap w:val="false"/>
          </w:tcPr>
          <w:p>
            <w:pPr>
              <w:pBdr/>
              <w:spacing w:after="0" w:line="240" w:lineRule="auto"/>
              <w:ind w:right="-143" w:left="284"/>
              <w:jc w:val="center"/>
              <w:rPr>
                <w:rFonts w:ascii="Arial" w:hAnsi="Arial" w:eastAsia="Times New Roman" w:cs="Arial"/>
                <w:sz w:val="20"/>
                <w:szCs w:val="20"/>
                <w:lang w:val="en-GB"/>
              </w:rPr>
            </w:pPr>
            <w:r>
              <w:rPr>
                <w:rFonts w:ascii="Arial" w:hAnsi="Arial" w:eastAsia="Times New Roman" w:cs="Arial"/>
                <w:sz w:val="20"/>
                <w:szCs w:val="20"/>
                <w:lang w:val="en-GB"/>
              </w:rPr>
              <w:t xml:space="preserve">4</w:t>
            </w:r>
            <w:r>
              <w:rPr>
                <w:rFonts w:ascii="Arial" w:hAnsi="Arial" w:eastAsia="Times New Roman" w:cs="Arial"/>
                <w:sz w:val="20"/>
                <w:szCs w:val="20"/>
                <w:lang w:val="en-GB"/>
              </w:rPr>
            </w:r>
          </w:p>
        </w:tc>
        <w:tc>
          <w:tcPr>
            <w:tcBorders>
              <w:bottom w:val="single" w:color="auto" w:sz="4" w:space="0"/>
            </w:tcBorders>
            <w:tcW w:w="1081"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369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62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507"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80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53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bottom w:val="single" w:color="auto" w:sz="4" w:space="0"/>
            </w:tcBorders>
            <w:tcW w:w="1620" w:type="dxa"/>
            <w:textDirection w:val="lrTb"/>
            <w:noWrap w:val="false"/>
          </w:tcPr>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r>
      <w:tr>
        <w:trPr>
          <w:jc w:val="center"/>
        </w:trPr>
        <w:tc>
          <w:tcPr>
            <w:gridSpan w:val="6"/>
            <w:tcBorders>
              <w:top w:val="single" w:color="auto" w:sz="4" w:space="0"/>
              <w:left w:val="single" w:color="auto" w:sz="4" w:space="0"/>
              <w:bottom w:val="single" w:color="auto" w:sz="4" w:space="0"/>
              <w:right w:val="single" w:color="auto" w:sz="4" w:space="0"/>
            </w:tcBorders>
            <w:tcW w:w="10525" w:type="dxa"/>
            <w:textDirection w:val="lrTb"/>
            <w:noWrap w:val="false"/>
          </w:tcPr>
          <w:p>
            <w:pPr>
              <w:pBdr/>
              <w:spacing w:after="0" w:line="240" w:lineRule="auto"/>
              <w:ind w:right="-143" w:left="284"/>
              <w:jc w:val="right"/>
              <w:rPr>
                <w:rFonts w:ascii="Arial" w:hAnsi="Arial" w:eastAsia="Times New Roman" w:cs="Arial"/>
                <w:b/>
                <w:sz w:val="20"/>
                <w:szCs w:val="20"/>
                <w:lang w:val="en-GB"/>
              </w:rPr>
            </w:pPr>
            <w:r>
              <w:rPr>
                <w:rFonts w:ascii="Arial" w:hAnsi="Arial" w:eastAsia="Times New Roman" w:cs="Arial"/>
                <w:b/>
                <w:sz w:val="20"/>
                <w:szCs w:val="20"/>
                <w:lang w:val="en-GB"/>
              </w:rPr>
              <w:t xml:space="preserve">TOTAL:  :        </w:t>
            </w:r>
            <w:r>
              <w:rPr>
                <w:rFonts w:ascii="Arial" w:hAnsi="Arial" w:eastAsia="Times New Roman" w:cs="Arial"/>
                <w:b/>
                <w:sz w:val="20"/>
                <w:szCs w:val="20"/>
                <w:lang w:val="en-GB"/>
              </w:rPr>
            </w:r>
          </w:p>
        </w:tc>
        <w:tc>
          <w:tcPr>
            <w:tcBorders>
              <w:right w:val="single" w:color="auto" w:sz="4" w:space="0"/>
            </w:tcBorders>
            <w:tcW w:w="1530" w:type="dxa"/>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r>
            <w:r>
              <w:rPr>
                <w:rFonts w:ascii="Arial" w:hAnsi="Arial" w:eastAsia="Times New Roman" w:cs="Arial"/>
                <w:b/>
                <w:sz w:val="20"/>
                <w:szCs w:val="20"/>
                <w:lang w:val="en-GB"/>
              </w:rPr>
            </w:r>
          </w:p>
        </w:tc>
        <w:tc>
          <w:tcPr>
            <w:tcBorders>
              <w:top w:val="single" w:color="auto" w:sz="4" w:space="0"/>
              <w:left w:val="single" w:color="auto" w:sz="4" w:space="0"/>
              <w:bottom w:val="single" w:color="auto" w:sz="4" w:space="0"/>
              <w:right w:val="single" w:color="auto" w:sz="4" w:space="0"/>
            </w:tcBorders>
            <w:tcW w:w="1620" w:type="dxa"/>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r>
            <w:r>
              <w:rPr>
                <w:rFonts w:ascii="Arial" w:hAnsi="Arial" w:eastAsia="Times New Roman" w:cs="Arial"/>
                <w:b/>
                <w:sz w:val="20"/>
                <w:szCs w:val="20"/>
                <w:lang w:val="en-GB"/>
              </w:rPr>
            </w:r>
          </w:p>
        </w:tc>
      </w:tr>
    </w:tbl>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p>
      <w:pPr>
        <w:pBdr/>
        <w:spacing w:after="0" w:line="240" w:lineRule="auto"/>
        <w:ind w:right="544" w:left="284"/>
        <w:jc w:val="both"/>
        <w:rPr>
          <w:rFonts w:ascii="Arial" w:hAnsi="Arial" w:eastAsia="Times New Roman" w:cs="Arial"/>
          <w:sz w:val="20"/>
          <w:szCs w:val="20"/>
          <w:lang w:val="en-GB"/>
        </w:rPr>
      </w:pPr>
      <w:r>
        <w:rPr>
          <w:rFonts w:ascii="Arial" w:hAnsi="Arial" w:eastAsia="Times New Roman" w:cs="Arial"/>
          <w:sz w:val="20"/>
          <w:szCs w:val="20"/>
          <w:lang w:val="en-GB"/>
        </w:rPr>
        <w:t xml:space="preserve">(</w:t>
      </w:r>
      <w:r>
        <w:rPr>
          <w:rFonts w:ascii="Arial" w:hAnsi="Arial" w:eastAsia="Times New Roman" w:cs="Arial"/>
          <w:b/>
          <w:sz w:val="20"/>
          <w:szCs w:val="20"/>
          <w:lang w:val="en-GB"/>
        </w:rPr>
        <w:t xml:space="preserve">Note:</w:t>
      </w:r>
      <w:r>
        <w:rPr>
          <w:rFonts w:ascii="Arial" w:hAnsi="Arial" w:eastAsia="Times New Roman" w:cs="Arial"/>
          <w:sz w:val="20"/>
          <w:szCs w:val="20"/>
          <w:lang w:val="en-GB"/>
        </w:rPr>
        <w:t xml:space="preserve"> If it is not possible to provide a specification of services in the table due to the scope of services or for some other reasons, then the services should be described in text.)</w:t>
      </w:r>
      <w:r>
        <w:rPr>
          <w:rFonts w:ascii="Arial" w:hAnsi="Arial" w:eastAsia="Times New Roman" w:cs="Arial"/>
          <w:sz w:val="20"/>
          <w:szCs w:val="20"/>
          <w:lang w:val="en-GB"/>
        </w:rPr>
      </w:r>
    </w:p>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p>
      <w:pPr>
        <w:pBdr/>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t xml:space="preserve">Currency: _________</w:t>
      </w:r>
      <w:r>
        <w:rPr>
          <w:rFonts w:ascii="Arial" w:hAnsi="Arial" w:eastAsia="Times New Roman" w:cs="Arial"/>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i/>
          <w:sz w:val="20"/>
          <w:szCs w:val="20"/>
          <w:u w:val="single"/>
          <w:lang w:val="en-GB"/>
        </w:rPr>
      </w:pPr>
      <w:r>
        <w:rPr>
          <w:rFonts w:ascii="Arial" w:hAnsi="Arial" w:eastAsia="Times New Roman" w:cs="Arial"/>
          <w:b/>
          <w:bCs/>
          <w:sz w:val="20"/>
          <w:szCs w:val="20"/>
          <w:lang w:val="en-GB"/>
        </w:rPr>
        <w:t xml:space="preserve">2. METHOD OF FORMING PRICES </w:t>
      </w:r>
      <w:r>
        <w:rPr>
          <w:rFonts w:ascii="Arial" w:hAnsi="Arial" w:eastAsia="Times New Roman" w:cs="Arial"/>
          <w:bCs/>
          <w:i/>
          <w:sz w:val="20"/>
          <w:szCs w:val="20"/>
          <w:lang w:val="en-GB"/>
        </w:rPr>
        <w:t xml:space="preserve">(the price of the service includes costs):</w:t>
      </w:r>
      <w:r>
        <w:rPr>
          <w:rFonts w:ascii="Arial" w:hAnsi="Arial" w:eastAsia="Times New Roman" w:cs="Arial"/>
          <w:b/>
          <w:bCs/>
          <w:sz w:val="20"/>
          <w:szCs w:val="20"/>
          <w:lang w:val="en-GB"/>
        </w:rPr>
        <w:t xml:space="preserve">________________________________</w:t>
      </w:r>
      <w:r>
        <w:rPr>
          <w:rFonts w:ascii="Arial" w:hAnsi="Arial" w:eastAsia="Times New Roman" w:cs="Arial"/>
          <w:bCs/>
          <w:i/>
          <w:sz w:val="20"/>
          <w:szCs w:val="20"/>
          <w:u w:val="single"/>
          <w:lang w:val="en-GB"/>
        </w:rPr>
        <w:t xml:space="preserve"> </w:t>
      </w:r>
      <w:r>
        <w:rPr>
          <w:rFonts w:ascii="Arial" w:hAnsi="Arial" w:eastAsia="Times New Roman" w:cs="Arial"/>
          <w:bCs/>
          <w:i/>
          <w:sz w:val="20"/>
          <w:szCs w:val="20"/>
          <w:u w:val="single"/>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3. METHOD OF PAYMENT __________________________________________</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3.1. The services will be paid by a wire transfer of funds to the Contractor’s account ______________.</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3.2.</w:t>
      </w:r>
      <w:r>
        <w:rPr>
          <w:rFonts w:ascii="Times New Roman" w:hAnsi="Times New Roman" w:eastAsia="Times New Roman" w:cs="Times New Roman"/>
          <w:sz w:val="20"/>
          <w:szCs w:val="20"/>
          <w:lang w:val="en-GB"/>
        </w:rPr>
        <w:t xml:space="preserve"> </w:t>
      </w:r>
      <w:r>
        <w:rPr>
          <w:rFonts w:ascii="Arial" w:hAnsi="Arial" w:eastAsia="Times New Roman" w:cs="Arial"/>
          <w:b/>
          <w:bCs/>
          <w:sz w:val="20"/>
          <w:szCs w:val="20"/>
          <w:lang w:val="en-GB"/>
        </w:rPr>
        <w:t xml:space="preserve">The Contractor’s invoice should contain the name and surname of the person or organizational part that handles invoices and number of this Contract.</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4. Conditions, deadlines and manner of </w:t>
      </w:r>
      <w:r>
        <w:rPr>
          <w:rFonts w:ascii="Arial" w:hAnsi="Arial" w:eastAsia="Times New Roman" w:cs="Arial"/>
          <w:b/>
          <w:bCs/>
          <w:sz w:val="20"/>
          <w:szCs w:val="20"/>
          <w:lang w:val="en-GB"/>
        </w:rPr>
        <w:t xml:space="preserve">execution</w:t>
      </w:r>
      <w:r>
        <w:rPr>
          <w:rFonts w:ascii="Arial" w:hAnsi="Arial" w:eastAsia="Times New Roman" w:cs="Arial"/>
          <w:bCs/>
          <w:i/>
          <w:sz w:val="20"/>
          <w:szCs w:val="20"/>
          <w:lang w:val="en-GB"/>
        </w:rPr>
        <w:t xml:space="preserve">:</w:t>
      </w:r>
      <w:r>
        <w:rPr>
          <w:rFonts w:ascii="Arial" w:hAnsi="Arial" w:eastAsia="Times New Roman" w:cs="Arial"/>
          <w:b/>
          <w:bCs/>
          <w:sz w:val="20"/>
          <w:szCs w:val="20"/>
          <w:lang w:val="en-GB"/>
        </w:rPr>
        <w:t xml:space="preserve">_</w:t>
      </w:r>
      <w:r>
        <w:rPr>
          <w:rFonts w:ascii="Arial" w:hAnsi="Arial" w:eastAsia="Times New Roman" w:cs="Arial"/>
          <w:b/>
          <w:bCs/>
          <w:sz w:val="20"/>
          <w:szCs w:val="20"/>
          <w:lang w:val="en-GB"/>
        </w:rPr>
        <w:t xml:space="preserve">________________________________</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4.1. Warranty period for the </w:t>
      </w:r>
      <w:r>
        <w:rPr>
          <w:rFonts w:ascii="Arial" w:hAnsi="Arial" w:eastAsia="Times New Roman" w:cs="Arial"/>
          <w:b/>
          <w:bCs/>
          <w:sz w:val="20"/>
          <w:szCs w:val="20"/>
          <w:lang w:val="en-GB"/>
        </w:rPr>
        <w:t xml:space="preserve">services:_</w:t>
      </w:r>
      <w:r>
        <w:rPr>
          <w:rFonts w:ascii="Arial" w:hAnsi="Arial" w:eastAsia="Times New Roman" w:cs="Arial"/>
          <w:b/>
          <w:bCs/>
          <w:sz w:val="20"/>
          <w:szCs w:val="20"/>
          <w:lang w:val="en-GB"/>
        </w:rPr>
        <w:t xml:space="preserve">_______________________</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4.2. Warranty period for the installed parts, spare parts, etc.:_____________________</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
          <w:bCs/>
          <w:sz w:val="20"/>
          <w:szCs w:val="20"/>
          <w:lang w:val="en-GB"/>
        </w:rPr>
        <w:t xml:space="preserve">5</w:t>
      </w:r>
      <w:r>
        <w:rPr>
          <w:rFonts w:ascii="Arial" w:hAnsi="Arial" w:eastAsia="Times New Roman" w:cs="Arial"/>
          <w:bCs/>
          <w:sz w:val="20"/>
          <w:szCs w:val="20"/>
          <w:lang w:val="en-GB"/>
        </w:rPr>
        <w:t xml:space="preserve">. </w:t>
      </w:r>
      <w:r>
        <w:rPr>
          <w:rFonts w:ascii="Arial" w:hAnsi="Arial" w:eastAsia="Times New Roman" w:cs="Arial"/>
          <w:b/>
          <w:bCs/>
          <w:sz w:val="20"/>
          <w:szCs w:val="20"/>
          <w:lang w:val="en-GB"/>
        </w:rPr>
        <w:t xml:space="preserve">Collateral</w:t>
      </w:r>
      <w:r>
        <w:rPr>
          <w:rFonts w:ascii="Arial" w:hAnsi="Arial" w:eastAsia="Times New Roman" w:cs="Arial"/>
          <w:bCs/>
          <w:sz w:val="20"/>
          <w:szCs w:val="20"/>
          <w:lang w:val="en-GB"/>
        </w:rPr>
        <w:t xml:space="preserve"> _____________________</w:t>
      </w:r>
      <w:r>
        <w:rPr>
          <w:rFonts w:ascii="Arial" w:hAnsi="Arial" w:eastAsia="Times New Roman" w:cs="Arial"/>
          <w:bCs/>
          <w:sz w:val="20"/>
          <w:szCs w:val="20"/>
          <w:lang w:val="en-GB"/>
        </w:rPr>
        <w:t xml:space="preserve">_  </w:t>
      </w:r>
      <w:r>
        <w:rPr>
          <w:rFonts w:ascii="Arial" w:hAnsi="Arial" w:eastAsia="Times New Roman" w:cs="Arial"/>
          <w:b/>
          <w:bCs/>
          <w:sz w:val="20"/>
          <w:szCs w:val="20"/>
          <w:lang w:val="en-GB"/>
        </w:rPr>
        <w:t xml:space="preserve">validity</w:t>
      </w:r>
      <w:r>
        <w:rPr>
          <w:rFonts w:ascii="Arial" w:hAnsi="Arial" w:eastAsia="Times New Roman" w:cs="Arial"/>
          <w:b/>
          <w:bCs/>
          <w:sz w:val="20"/>
          <w:szCs w:val="20"/>
          <w:lang w:val="en-GB"/>
        </w:rPr>
        <w:t xml:space="preserve"> period</w:t>
      </w:r>
      <w:r>
        <w:rPr>
          <w:rFonts w:ascii="Arial" w:hAnsi="Arial" w:eastAsia="Times New Roman" w:cs="Arial"/>
          <w:bCs/>
          <w:sz w:val="20"/>
          <w:szCs w:val="20"/>
          <w:lang w:val="en-GB"/>
        </w:rPr>
        <w:t xml:space="preserve"> _______________________</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 SCOPE OF SERVICES</w:t>
      </w:r>
      <w:r>
        <w:rPr>
          <w:rFonts w:ascii="Arial" w:hAnsi="Arial" w:eastAsia="Times New Roman" w:cs="Arial"/>
          <w:b/>
          <w:bCs/>
          <w:sz w:val="20"/>
          <w:szCs w:val="20"/>
          <w:lang w:val="en-GB"/>
        </w:rPr>
      </w:r>
    </w:p>
    <w:p>
      <w:pPr>
        <w:pBdr/>
        <w:tabs>
          <w:tab w:val="left" w:leader="none" w:pos="15390"/>
        </w:tabs>
        <w:spacing w:after="0" w:line="240" w:lineRule="auto"/>
        <w:ind w:right="180"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scope of services that the Contractor is obliged to deliver by groups of services, services, service components, specific service deliverables (service tasks or activities, project activities, etc.) tha</w:t>
      </w:r>
      <w:r>
        <w:rPr>
          <w:rFonts w:ascii="Arial" w:hAnsi="Arial" w:eastAsia="Times New Roman" w:cs="Arial"/>
          <w:bCs/>
          <w:i/>
          <w:sz w:val="20"/>
          <w:szCs w:val="20"/>
          <w:lang w:val="en-GB"/>
        </w:rPr>
        <w:t xml:space="preserve">t the Client is required to deliver. The scope of services must be in accordance with the specification provided in the Technical Assignment, Contractor’s technical offer and, possibly, additional negotiations of technical details during the negotiations.]</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w:t>
      </w:r>
      <w:r>
        <w:rPr>
          <w:rFonts w:ascii="Arial" w:hAnsi="Arial" w:eastAsia="Times New Roman" w:cs="Arial"/>
          <w:b/>
          <w:bCs/>
          <w:sz w:val="20"/>
          <w:szCs w:val="20"/>
          <w:lang w:val="en-GB"/>
        </w:rPr>
        <w:t xml:space="preserve">1.Services</w:t>
      </w:r>
      <w:r>
        <w:rPr>
          <w:rFonts w:ascii="Arial" w:hAnsi="Arial" w:eastAsia="Times New Roman" w:cs="Arial"/>
          <w:b/>
          <w:bCs/>
          <w:sz w:val="20"/>
          <w:szCs w:val="20"/>
          <w:lang w:val="en-GB"/>
        </w:rPr>
      </w:r>
    </w:p>
    <w:p>
      <w:pPr>
        <w:pBdr/>
        <w:tabs>
          <w:tab w:val="left" w:leader="none" w:pos="180"/>
        </w:tabs>
        <w:spacing w:after="0" w:line="240" w:lineRule="auto"/>
        <w:ind w:right="90"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[Optionally specify groups of relevant services. For example, preventive maintenance, corrective maintenance, design services, project implementation, service or project administration services, etc. Service groups contain the subject services.]</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80" w:left="284"/>
        <w:jc w:val="both"/>
        <w:rPr>
          <w:rFonts w:ascii="Arial" w:hAnsi="Arial" w:eastAsia="Times New Roman" w:cs="Arial"/>
          <w:b/>
          <w:bCs/>
          <w:i/>
          <w:sz w:val="20"/>
          <w:szCs w:val="20"/>
          <w:lang w:val="en-GB"/>
        </w:rPr>
      </w:pPr>
      <w:r>
        <w:rPr>
          <w:rFonts w:ascii="Arial" w:hAnsi="Arial" w:eastAsia="Times New Roman" w:cs="Arial"/>
          <w:bCs/>
          <w:i/>
          <w:sz w:val="20"/>
          <w:szCs w:val="20"/>
          <w:lang w:val="en-GB"/>
        </w:rPr>
        <w:t xml:space="preserve">[Specify a catalogue of all agreed services that the Contractor should deliver. For each service, specify: </w:t>
      </w:r>
      <w:r>
        <w:rPr>
          <w:rFonts w:ascii="Arial" w:hAnsi="Arial" w:eastAsia="Times New Roman" w:cs="Arial"/>
          <w:bCs/>
          <w:i/>
          <w:sz w:val="20"/>
          <w:szCs w:val="20"/>
          <w:lang w:val="en-GB"/>
        </w:rPr>
        <w:t xml:space="preserve">the</w:t>
      </w:r>
      <w:r>
        <w:rPr>
          <w:rFonts w:ascii="Arial" w:hAnsi="Arial" w:eastAsia="Times New Roman" w:cs="Arial"/>
          <w:bCs/>
          <w:i/>
          <w:sz w:val="20"/>
          <w:szCs w:val="20"/>
          <w:lang w:val="en-GB"/>
        </w:rPr>
        <w:t xml:space="preserve"> Contractor’s tasks, detailed activities and deliverables that the Contractor is obliged to deliver. Use the service code listed in the pricelist table under Clause 1 hereof. </w:t>
      </w:r>
      <w:r>
        <w:rPr>
          <w:rFonts w:ascii="Arial" w:hAnsi="Arial" w:eastAsia="Times New Roman" w:cs="Arial"/>
          <w:b/>
          <w:bCs/>
          <w:i/>
          <w:sz w:val="20"/>
          <w:szCs w:val="20"/>
          <w:lang w:val="en-GB"/>
        </w:rPr>
        <w:t xml:space="preserve">A format other than a table can be used depending on the Contract </w:t>
      </w:r>
      <w:r>
        <w:rPr>
          <w:rFonts w:ascii="Arial" w:hAnsi="Arial" w:eastAsia="Times New Roman" w:cs="Arial"/>
          <w:b/>
          <w:bCs/>
          <w:i/>
          <w:sz w:val="20"/>
          <w:szCs w:val="20"/>
          <w:lang w:val="en-GB"/>
        </w:rPr>
        <w:t xml:space="preserve">purposes..</w:t>
      </w:r>
      <w:r>
        <w:rPr>
          <w:rFonts w:ascii="Arial" w:hAnsi="Arial" w:eastAsia="Times New Roman" w:cs="Arial"/>
          <w:b/>
          <w:bCs/>
          <w:i/>
          <w:sz w:val="20"/>
          <w:szCs w:val="20"/>
          <w:lang w:val="en-GB"/>
        </w:rPr>
        <w:t xml:space="preserve">]</w:t>
      </w:r>
      <w:r>
        <w:rPr>
          <w:rFonts w:ascii="Arial" w:hAnsi="Arial" w:eastAsia="Times New Roman" w:cs="Arial"/>
          <w:b/>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bl>
      <w:tblPr>
        <w:tblStyle w:val="829"/>
        <w:jc w:val="center"/>
        <w:tblW w:w="12145" w:type="dxa"/>
        <w:tblBorders/>
        <w:tblLayout w:type="fixed"/>
        <w:tblLook w:val="04A0" w:firstRow="1" w:lastRow="0" w:firstColumn="1" w:lastColumn="0" w:noHBand="0" w:noVBand="1"/>
      </w:tblPr>
      <w:tblGrid>
        <w:gridCol w:w="1345"/>
        <w:gridCol w:w="3510"/>
        <w:gridCol w:w="3510"/>
        <w:gridCol w:w="3780"/>
      </w:tblGrid>
      <w:tr>
        <w:trPr>
          <w:jc w:val="center"/>
          <w:trHeight w:val="590"/>
          <w:tblHeader/>
        </w:trPr>
        <w:tc>
          <w:tcPr>
            <w:shd w:val="clear" w:color="auto" w:fill="d9d9d9" w:themeFill="background1" w:themeFillShade="D9"/>
            <w:tcBorders/>
            <w:tcW w:w="1345"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Service code</w:t>
            </w:r>
            <w:r>
              <w:rPr>
                <w:rFonts w:ascii="Arial" w:hAnsi="Arial" w:cs="Arial"/>
                <w:b/>
                <w:szCs w:val="24"/>
                <w:lang w:val="en-GB"/>
              </w:rPr>
            </w:r>
          </w:p>
        </w:tc>
        <w:tc>
          <w:tcPr>
            <w:shd w:val="clear" w:color="auto" w:fill="d9d9d9" w:themeFill="background1" w:themeFillShade="D9"/>
            <w:tcBorders/>
            <w:tcW w:w="3510"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Service</w:t>
            </w:r>
            <w:r>
              <w:rPr>
                <w:rFonts w:ascii="Arial" w:hAnsi="Arial" w:cs="Arial"/>
                <w:b/>
                <w:szCs w:val="24"/>
                <w:lang w:val="en-GB"/>
              </w:rPr>
            </w:r>
          </w:p>
        </w:tc>
        <w:tc>
          <w:tcPr>
            <w:shd w:val="clear" w:color="auto" w:fill="d9d9d9" w:themeFill="background1" w:themeFillShade="D9"/>
            <w:tcBorders/>
            <w:tcW w:w="3510"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Deliverables</w:t>
            </w:r>
            <w:r>
              <w:rPr>
                <w:rFonts w:ascii="Arial" w:hAnsi="Arial" w:cs="Arial"/>
                <w:b/>
                <w:szCs w:val="24"/>
                <w:lang w:val="en-GB"/>
              </w:rPr>
            </w:r>
          </w:p>
        </w:tc>
        <w:tc>
          <w:tcPr>
            <w:shd w:val="clear" w:color="auto" w:fill="d9d9d9" w:themeFill="background1" w:themeFillShade="D9"/>
            <w:tcBorders/>
            <w:tcW w:w="3780"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Contractor’s tasks / activities</w:t>
            </w:r>
            <w:r>
              <w:rPr>
                <w:rFonts w:ascii="Arial" w:hAnsi="Arial" w:cs="Arial"/>
                <w:b/>
                <w:szCs w:val="24"/>
                <w:lang w:val="en-GB"/>
              </w:rPr>
            </w:r>
          </w:p>
        </w:tc>
      </w:tr>
      <w:tr>
        <w:trPr>
          <w:jc w:val="center"/>
          <w:trHeight w:val="1305"/>
        </w:trPr>
        <w:tc>
          <w:tcPr>
            <w:tcBorders/>
            <w:tcW w:w="1345" w:type="dxa"/>
            <w:vAlign w:val="center"/>
            <w:textDirection w:val="lrTb"/>
            <w:noWrap w:val="false"/>
          </w:tcPr>
          <w:p>
            <w:pPr>
              <w:pBdr/>
              <w:spacing w:after="0"/>
              <w:ind w:left="284"/>
              <w:rPr>
                <w:rFonts w:ascii="Arial" w:hAnsi="Arial" w:cs="Arial"/>
                <w:i/>
                <w:szCs w:val="24"/>
                <w:lang w:val="en-GB"/>
              </w:rPr>
            </w:pPr>
            <w:r>
              <w:rPr>
                <w:rFonts w:ascii="Arial" w:hAnsi="Arial" w:cs="Arial"/>
                <w:i/>
                <w:szCs w:val="24"/>
                <w:lang w:val="en-GB"/>
              </w:rPr>
              <w:t xml:space="preserve">S01</w:t>
            </w:r>
            <w:r>
              <w:rPr>
                <w:rFonts w:ascii="Arial" w:hAnsi="Arial" w:cs="Arial"/>
                <w:i/>
                <w:szCs w:val="24"/>
                <w:lang w:val="en-GB"/>
              </w:rPr>
            </w:r>
          </w:p>
        </w:tc>
        <w:tc>
          <w:tcPr>
            <w:tcBorders/>
            <w:tcW w:w="351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Service 1</w:t>
            </w:r>
            <w:r>
              <w:rPr>
                <w:rFonts w:ascii="Arial" w:hAnsi="Arial" w:cs="Arial"/>
                <w:i/>
                <w:szCs w:val="24"/>
                <w:lang w:val="en-GB"/>
              </w:rPr>
            </w:r>
          </w:p>
        </w:tc>
        <w:tc>
          <w:tcPr>
            <w:tcBorders/>
            <w:tcW w:w="3510" w:type="dxa"/>
            <w:vAlign w:val="center"/>
            <w:textDirection w:val="lrTb"/>
            <w:noWrap w:val="false"/>
          </w:tcPr>
          <w:p>
            <w:pPr>
              <w:numPr>
                <w:ilvl w:val="0"/>
                <w:numId w:val="4"/>
              </w:numPr>
              <w:pBdr/>
              <w:spacing w:after="0"/>
              <w:ind w:firstLine="0" w:left="284"/>
              <w:rPr>
                <w:rFonts w:ascii="Arial" w:hAnsi="Arial" w:cs="Arial"/>
                <w:i/>
                <w:szCs w:val="24"/>
                <w:lang w:val="en-GB"/>
              </w:rPr>
            </w:pPr>
            <w:r>
              <w:rPr>
                <w:rFonts w:ascii="Arial" w:hAnsi="Arial" w:cs="Arial"/>
                <w:i/>
                <w:szCs w:val="24"/>
                <w:lang w:val="en-GB"/>
              </w:rPr>
              <w:t xml:space="preserve">Deliverable 1</w:t>
            </w:r>
            <w:r>
              <w:rPr>
                <w:rFonts w:ascii="Arial" w:hAnsi="Arial" w:cs="Arial"/>
                <w:i/>
                <w:szCs w:val="24"/>
                <w:lang w:val="en-GB"/>
              </w:rPr>
            </w:r>
          </w:p>
          <w:p>
            <w:pPr>
              <w:numPr>
                <w:ilvl w:val="0"/>
                <w:numId w:val="4"/>
              </w:numPr>
              <w:pBdr/>
              <w:spacing w:after="0"/>
              <w:ind w:firstLine="0" w:left="284"/>
              <w:rPr>
                <w:rFonts w:ascii="Arial" w:hAnsi="Arial" w:cs="Arial"/>
                <w:i/>
                <w:szCs w:val="24"/>
                <w:lang w:val="en-GB"/>
              </w:rPr>
            </w:pPr>
            <w:r>
              <w:rPr>
                <w:rFonts w:ascii="Arial" w:hAnsi="Arial" w:cs="Arial"/>
                <w:i/>
                <w:szCs w:val="24"/>
                <w:lang w:val="en-GB"/>
              </w:rPr>
              <w:t xml:space="preserve">Deliverable 2</w:t>
            </w:r>
            <w:r>
              <w:rPr>
                <w:rFonts w:ascii="Arial" w:hAnsi="Arial" w:cs="Arial"/>
                <w:i/>
                <w:szCs w:val="24"/>
                <w:lang w:val="en-GB"/>
              </w:rPr>
            </w:r>
          </w:p>
          <w:p>
            <w:pPr>
              <w:numPr>
                <w:ilvl w:val="0"/>
                <w:numId w:val="4"/>
              </w:numPr>
              <w:pBdr/>
              <w:spacing w:after="0"/>
              <w:ind w:firstLine="0" w:left="284"/>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3780" w:type="dxa"/>
            <w:vAlign w:val="center"/>
            <w:textDirection w:val="lrTb"/>
            <w:noWrap w:val="false"/>
          </w:tcPr>
          <w:p>
            <w:pPr>
              <w:numPr>
                <w:ilvl w:val="0"/>
                <w:numId w:val="3"/>
              </w:numPr>
              <w:pBdr/>
              <w:spacing w:after="0"/>
              <w:ind w:firstLine="0" w:left="284"/>
              <w:rPr>
                <w:rFonts w:ascii="Arial" w:hAnsi="Arial" w:cs="Arial"/>
                <w:i/>
                <w:szCs w:val="24"/>
                <w:lang w:val="en-GB"/>
              </w:rPr>
            </w:pPr>
            <w:r>
              <w:rPr>
                <w:rFonts w:ascii="Arial" w:hAnsi="Arial" w:cs="Arial"/>
                <w:i/>
                <w:szCs w:val="24"/>
                <w:lang w:val="en-GB"/>
              </w:rPr>
              <w:t xml:space="preserve">Task 1</w:t>
            </w:r>
            <w:r>
              <w:rPr>
                <w:rFonts w:ascii="Arial" w:hAnsi="Arial" w:cs="Arial"/>
                <w:i/>
                <w:szCs w:val="24"/>
                <w:lang w:val="en-GB"/>
              </w:rPr>
            </w:r>
          </w:p>
          <w:p>
            <w:pPr>
              <w:numPr>
                <w:ilvl w:val="0"/>
                <w:numId w:val="3"/>
              </w:numPr>
              <w:pBdr/>
              <w:spacing w:after="0"/>
              <w:ind w:firstLine="0" w:left="284"/>
              <w:rPr>
                <w:rFonts w:ascii="Arial" w:hAnsi="Arial" w:cs="Arial"/>
                <w:i/>
                <w:szCs w:val="24"/>
                <w:lang w:val="en-GB"/>
              </w:rPr>
            </w:pPr>
            <w:r>
              <w:rPr>
                <w:rFonts w:ascii="Arial" w:hAnsi="Arial" w:cs="Arial"/>
                <w:i/>
                <w:szCs w:val="24"/>
                <w:lang w:val="en-GB"/>
              </w:rPr>
              <w:t xml:space="preserve">Task 2</w:t>
            </w:r>
            <w:r>
              <w:rPr>
                <w:rFonts w:ascii="Arial" w:hAnsi="Arial" w:cs="Arial"/>
                <w:i/>
                <w:szCs w:val="24"/>
                <w:lang w:val="en-GB"/>
              </w:rPr>
            </w:r>
          </w:p>
          <w:p>
            <w:pPr>
              <w:numPr>
                <w:ilvl w:val="0"/>
                <w:numId w:val="3"/>
              </w:numPr>
              <w:pBdr/>
              <w:spacing w:after="0"/>
              <w:ind w:firstLine="0" w:left="284"/>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r>
      <w:tr>
        <w:trPr>
          <w:jc w:val="center"/>
        </w:trPr>
        <w:tc>
          <w:tcPr>
            <w:tcBorders/>
            <w:tcW w:w="1345"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3510"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3510"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3780"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r>
    </w:tbl>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6.2. Client’s sites</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[For each service, specify the Client’s sites at which the services are provided (by country, city, office building, etc.) for each service.]</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6.3. Access to the Client’s sites</w:t>
      </w:r>
      <w:r>
        <w:rPr>
          <w:rFonts w:ascii="Arial" w:hAnsi="Arial" w:eastAsia="Times New Roman" w:cs="Arial"/>
          <w:b/>
          <w:bCs/>
          <w:sz w:val="20"/>
          <w:szCs w:val="20"/>
          <w:lang w:val="en-GB"/>
        </w:rPr>
      </w:r>
    </w:p>
    <w:p>
      <w:pPr>
        <w:pBdr/>
        <w:spacing w:after="0" w:line="240" w:lineRule="auto"/>
        <w:ind w:right="180"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[Specify the methods (procedures) and preconditions for the controlled access to the Client’s sites by the Contractor (for example, equipment, rooms, etc.).]</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261"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For the purpose of providing the Services, the Contractor agrees that the access of the Contractor’s employees is organized in accordance with the Client's internal procedures.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8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If the serv</w:t>
      </w:r>
      <w:r>
        <w:rPr>
          <w:rFonts w:ascii="Arial" w:hAnsi="Arial" w:eastAsia="Times New Roman" w:cs="Arial"/>
          <w:bCs/>
          <w:sz w:val="20"/>
          <w:szCs w:val="20"/>
          <w:lang w:val="en-GB"/>
        </w:rPr>
        <w:t xml:space="preserve">ice delivery implies a remote access as the only way to access the Client’s IT resources, the Client can provide a VPN access (via a terminal server) and AD accounts for each Contractor’s employee appointed for the implementation of the requested services.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ab/>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[Add other details related to the access to the sites depending on the specific nature of the service.]</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6.4. Client’s service users</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category of the Client’s users for each service]</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i/>
          <w:sz w:val="20"/>
          <w:szCs w:val="20"/>
          <w:lang w:val="en-GB"/>
        </w:rPr>
      </w:pPr>
      <w:r>
        <w:rPr>
          <w:rFonts w:ascii="Arial" w:hAnsi="Arial" w:eastAsia="Times New Roman" w:cs="Arial"/>
          <w:b/>
          <w:bCs/>
          <w:i/>
          <w:sz w:val="20"/>
          <w:szCs w:val="20"/>
          <w:lang w:val="en-GB"/>
        </w:rPr>
      </w:r>
      <w:r>
        <w:rPr>
          <w:rFonts w:ascii="Arial" w:hAnsi="Arial" w:eastAsia="Times New Roman" w:cs="Arial"/>
          <w:b/>
          <w:bCs/>
          <w:i/>
          <w:sz w:val="20"/>
          <w:szCs w:val="20"/>
          <w:lang w:val="en-GB"/>
        </w:rPr>
      </w:r>
    </w:p>
    <w:p>
      <w:pPr>
        <w:pBdr/>
        <w:spacing w:after="0" w:line="240" w:lineRule="auto"/>
        <w:ind w:right="-143" w:left="284"/>
        <w:jc w:val="both"/>
        <w:rPr>
          <w:rFonts w:ascii="Arial" w:hAnsi="Arial" w:eastAsia="Times New Roman" w:cs="Arial"/>
          <w:b/>
          <w:bCs/>
          <w:i/>
          <w:sz w:val="20"/>
          <w:szCs w:val="20"/>
          <w:lang w:val="en-GB"/>
        </w:rPr>
      </w:pPr>
      <w:r>
        <w:rPr>
          <w:rFonts w:ascii="Arial" w:hAnsi="Arial" w:eastAsia="Times New Roman" w:cs="Arial"/>
          <w:b/>
          <w:bCs/>
          <w:i/>
          <w:sz w:val="20"/>
          <w:szCs w:val="20"/>
          <w:lang w:val="en-GB"/>
        </w:rPr>
        <w:t xml:space="preserve">S01 Service 1</w:t>
      </w:r>
      <w:r>
        <w:rPr>
          <w:rFonts w:ascii="Arial" w:hAnsi="Arial" w:eastAsia="Times New Roman" w:cs="Arial"/>
          <w:b/>
          <w:bCs/>
          <w:i/>
          <w:sz w:val="20"/>
          <w:szCs w:val="20"/>
          <w:lang w:val="en-GB"/>
        </w:rPr>
      </w:r>
    </w:p>
    <w:tbl>
      <w:tblPr>
        <w:tblInd w:w="805" w:type="dxa"/>
        <w:tblW w:w="7267" w:type="dxa"/>
        <w:tblBorders/>
        <w:tblLook w:val="00A0" w:firstRow="1" w:lastRow="0" w:firstColumn="1" w:lastColumn="0" w:noHBand="0" w:noVBand="0"/>
      </w:tblPr>
      <w:tblGrid>
        <w:gridCol w:w="2587"/>
        <w:gridCol w:w="4680"/>
      </w:tblGrid>
      <w:tr>
        <w:trPr>
          <w:trHeight w:val="288"/>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587" w:type="dxa"/>
            <w:vAlign w:val="center"/>
            <w:textDirection w:val="lrTb"/>
            <w:noWrap/>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Category of users</w:t>
            </w:r>
            <w:r>
              <w:rPr>
                <w:rFonts w:ascii="Arial" w:hAnsi="Arial" w:eastAsia="Times New Roman" w:cs="Arial"/>
                <w:b/>
                <w:bCs/>
                <w:sz w:val="20"/>
                <w:szCs w:val="20"/>
                <w:lang w:val="en-GB"/>
              </w:rPr>
            </w:r>
          </w:p>
        </w:tc>
        <w:tc>
          <w:tcPr>
            <w:shd w:val="clear" w:color="auto" w:fill="d5dce4" w:themeFill="text2" w:themeFillTint="33"/>
            <w:tcBorders>
              <w:top w:val="single" w:color="auto" w:sz="4" w:space="0"/>
              <w:left w:val="none" w:color="000000" w:sz="4" w:space="0"/>
              <w:bottom w:val="single" w:color="auto" w:sz="4" w:space="0"/>
              <w:right w:val="single" w:color="auto" w:sz="4" w:space="0"/>
            </w:tcBorders>
            <w:tcW w:w="4680" w:type="dxa"/>
            <w:vAlign w:val="center"/>
            <w:textDirection w:val="lrTb"/>
            <w:noWrap w:val="false"/>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Description</w:t>
            </w:r>
            <w:r>
              <w:rPr>
                <w:rFonts w:ascii="Arial" w:hAnsi="Arial" w:eastAsia="Times New Roman" w:cs="Arial"/>
                <w:b/>
                <w:bCs/>
                <w:sz w:val="20"/>
                <w:szCs w:val="20"/>
                <w:lang w:val="en-GB"/>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Office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after="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Users in administrative and office buildings of the Client as well as users other than VIP users whose business obligation imply mobility</w:t>
            </w:r>
            <w:r>
              <w:rPr>
                <w:rFonts w:ascii="Arial" w:hAnsi="Arial" w:eastAsia="Times New Roman" w:cs="Arial"/>
                <w:bCs/>
                <w:i/>
                <w:sz w:val="20"/>
                <w:szCs w:val="20"/>
                <w:lang w:val="en-GB"/>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FS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Users working at fuelling stations </w:t>
            </w:r>
            <w:r>
              <w:rPr>
                <w:rFonts w:ascii="Arial" w:hAnsi="Arial" w:eastAsia="Times New Roman" w:cs="Arial"/>
                <w:bCs/>
                <w:i/>
                <w:sz w:val="20"/>
                <w:szCs w:val="20"/>
                <w:lang w:val="en-GB"/>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VIP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Users of special importance for the company</w:t>
            </w:r>
            <w:r>
              <w:rPr>
                <w:rFonts w:ascii="Arial" w:hAnsi="Arial" w:eastAsia="Times New Roman" w:cs="Arial"/>
                <w:bCs/>
                <w:i/>
                <w:sz w:val="20"/>
                <w:szCs w:val="20"/>
                <w:lang w:val="en-GB"/>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r>
    </w:tbl>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6.5. Service provision period</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service provision period by groups and/or services within which the Client expects to receive services from the Contractor.]</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i/>
          <w:sz w:val="20"/>
          <w:szCs w:val="20"/>
          <w:lang w:val="en-GB"/>
        </w:rPr>
      </w:pPr>
      <w:r>
        <w:rPr>
          <w:rFonts w:ascii="Arial" w:hAnsi="Arial" w:eastAsia="Times New Roman" w:cs="Arial"/>
          <w:b/>
          <w:bCs/>
          <w:i/>
          <w:sz w:val="20"/>
          <w:szCs w:val="20"/>
          <w:lang w:val="en-GB"/>
        </w:rPr>
      </w:r>
      <w:r>
        <w:rPr>
          <w:rFonts w:ascii="Arial" w:hAnsi="Arial" w:eastAsia="Times New Roman" w:cs="Arial"/>
          <w:b/>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
          <w:bCs/>
          <w:i/>
          <w:sz w:val="20"/>
          <w:szCs w:val="20"/>
          <w:lang w:val="en-GB"/>
        </w:rPr>
        <w:t xml:space="preserve">[</w:t>
      </w:r>
      <w:r>
        <w:rPr>
          <w:rFonts w:ascii="Arial" w:hAnsi="Arial" w:eastAsia="Times New Roman" w:cs="Arial"/>
          <w:bCs/>
          <w:i/>
          <w:sz w:val="20"/>
          <w:szCs w:val="20"/>
          <w:u w:val="single"/>
          <w:lang w:val="en-GB"/>
        </w:rPr>
        <w:t xml:space="preserve">Example for IT maintenance services</w:t>
      </w: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During the Contract period, the Contractor shall ensure the provision of services as follows: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S01 Service 1</w:t>
      </w:r>
      <w:r>
        <w:rPr>
          <w:rFonts w:ascii="Arial" w:hAnsi="Arial" w:eastAsia="Times New Roman" w:cs="Arial"/>
          <w:bCs/>
          <w:sz w:val="20"/>
          <w:szCs w:val="20"/>
          <w:lang w:val="en-GB"/>
        </w:rPr>
      </w:r>
    </w:p>
    <w:tbl>
      <w:tblPr>
        <w:tblInd w:w="805" w:type="dxa"/>
        <w:tblW w:w="6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428"/>
        <w:gridCol w:w="4142"/>
      </w:tblGrid>
      <w:tr>
        <w:trPr>
          <w:trHeight w:val="324"/>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428" w:type="dxa"/>
            <w:vAlign w:val="center"/>
            <w:textDirection w:val="lrTb"/>
            <w:noWrap w:val="false"/>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Category of users</w:t>
            </w:r>
            <w:r>
              <w:rPr>
                <w:rFonts w:ascii="Arial" w:hAnsi="Arial" w:eastAsia="Times New Roman" w:cs="Arial"/>
                <w:b/>
                <w:bCs/>
                <w:sz w:val="20"/>
                <w:szCs w:val="20"/>
                <w:lang w:val="en-GB"/>
              </w:rPr>
            </w:r>
          </w:p>
        </w:tc>
        <w:tc>
          <w:tcPr>
            <w:shd w:val="clear" w:color="auto" w:fill="d5dce4" w:themeFill="text2" w:themeFillTint="33"/>
            <w:tcBorders>
              <w:top w:val="single" w:color="auto" w:sz="4" w:space="0"/>
              <w:left w:val="single" w:color="auto" w:sz="4" w:space="0"/>
              <w:bottom w:val="single" w:color="auto" w:sz="4" w:space="0"/>
              <w:right w:val="single" w:color="auto" w:sz="4" w:space="0"/>
            </w:tcBorders>
            <w:tcW w:w="4142" w:type="dxa"/>
            <w:vAlign w:val="center"/>
            <w:textDirection w:val="lrTb"/>
            <w:noWrap w:val="false"/>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Service provision period</w:t>
            </w:r>
            <w:r>
              <w:rPr>
                <w:rFonts w:ascii="Arial" w:hAnsi="Arial" w:eastAsia="Times New Roman" w:cs="Arial"/>
                <w:b/>
                <w:bCs/>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Office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Working days from 08h to 18h</w:t>
            </w:r>
            <w:r>
              <w:rPr>
                <w:rFonts w:ascii="Arial" w:hAnsi="Arial" w:eastAsia="Times New Roman" w:cs="Arial"/>
                <w:bCs/>
                <w:i/>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FS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From 00h to 24h </w:t>
            </w:r>
            <w:r>
              <w:rPr>
                <w:rFonts w:ascii="Arial" w:hAnsi="Arial" w:eastAsia="Times New Roman" w:cs="Arial"/>
                <w:bCs/>
                <w:i/>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VIP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Working days from 08h to 20h</w:t>
            </w:r>
            <w:r>
              <w:rPr>
                <w:rFonts w:ascii="Arial" w:hAnsi="Arial" w:eastAsia="Times New Roman" w:cs="Arial"/>
                <w:bCs/>
                <w:i/>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r>
    </w:tbl>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S02 Service 2</w:t>
      </w:r>
      <w:r>
        <w:rPr>
          <w:rFonts w:ascii="Arial" w:hAnsi="Arial" w:eastAsia="Times New Roman" w:cs="Arial"/>
          <w:bCs/>
          <w:sz w:val="20"/>
          <w:szCs w:val="20"/>
          <w:lang w:val="en-GB"/>
        </w:rPr>
      </w:r>
    </w:p>
    <w:tbl>
      <w:tblPr>
        <w:tblInd w:w="805" w:type="dxa"/>
        <w:tblW w:w="6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428"/>
        <w:gridCol w:w="4142"/>
      </w:tblGrid>
      <w:tr>
        <w:trPr>
          <w:trHeight w:val="324"/>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428" w:type="dxa"/>
            <w:vAlign w:val="center"/>
            <w:textDirection w:val="lrTb"/>
            <w:noWrap w:val="false"/>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Category of users</w:t>
            </w:r>
            <w:r>
              <w:rPr>
                <w:rFonts w:ascii="Arial" w:hAnsi="Arial" w:eastAsia="Times New Roman" w:cs="Arial"/>
                <w:b/>
                <w:bCs/>
                <w:sz w:val="20"/>
                <w:szCs w:val="20"/>
                <w:lang w:val="en-GB"/>
              </w:rPr>
            </w:r>
          </w:p>
        </w:tc>
        <w:tc>
          <w:tcPr>
            <w:shd w:val="clear" w:color="auto" w:fill="d5dce4" w:themeFill="text2" w:themeFillTint="33"/>
            <w:tcBorders>
              <w:top w:val="single" w:color="auto" w:sz="4" w:space="0"/>
              <w:left w:val="single" w:color="auto" w:sz="4" w:space="0"/>
              <w:bottom w:val="single" w:color="auto" w:sz="4" w:space="0"/>
              <w:right w:val="single" w:color="auto" w:sz="4" w:space="0"/>
            </w:tcBorders>
            <w:tcW w:w="4142" w:type="dxa"/>
            <w:vAlign w:val="center"/>
            <w:textDirection w:val="lrTb"/>
            <w:noWrap w:val="false"/>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Service provision period</w:t>
            </w:r>
            <w:r>
              <w:rPr>
                <w:rFonts w:ascii="Arial" w:hAnsi="Arial" w:eastAsia="Times New Roman" w:cs="Arial"/>
                <w:b/>
                <w:bCs/>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Office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Working days from 08h to 18h</w:t>
            </w:r>
            <w:r>
              <w:rPr>
                <w:rFonts w:ascii="Arial" w:hAnsi="Arial" w:eastAsia="Times New Roman" w:cs="Arial"/>
                <w:bCs/>
                <w:i/>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FS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From 00h to 24h </w:t>
            </w:r>
            <w:r>
              <w:rPr>
                <w:rFonts w:ascii="Arial" w:hAnsi="Arial" w:eastAsia="Times New Roman" w:cs="Arial"/>
                <w:bCs/>
                <w:i/>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VIP users</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Working days from 08h to 20h</w:t>
            </w:r>
            <w:r>
              <w:rPr>
                <w:rFonts w:ascii="Arial" w:hAnsi="Arial" w:eastAsia="Times New Roman" w:cs="Arial"/>
                <w:bCs/>
                <w:i/>
                <w:sz w:val="20"/>
                <w:szCs w:val="20"/>
                <w:lang w:val="en-GB"/>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r>
    </w:tbl>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[Example for IT design services or consultants’ services]</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For the Contract period, the Contractor shall provide services in accordance with the project phases and project schedule as follows: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tbl>
      <w:tblPr>
        <w:tblW w:w="10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Pr w:horzAnchor="text" w:tblpXSpec="left" w:vertAnchor="text" w:tblpY="1" w:leftFromText="180" w:topFromText="0" w:rightFromText="180" w:bottomFromText="0"/>
        <w:tblOverlap w:val="never"/>
        <w:tblLook w:val="01E0" w:firstRow="1" w:lastRow="1" w:firstColumn="1" w:lastColumn="1" w:noHBand="0" w:noVBand="0"/>
      </w:tblPr>
      <w:tblGrid>
        <w:gridCol w:w="3539"/>
        <w:gridCol w:w="2221"/>
        <w:gridCol w:w="2221"/>
        <w:gridCol w:w="2221"/>
      </w:tblGrid>
      <w:tr>
        <w:trPr/>
        <w:tc>
          <w:tcPr>
            <w:shd w:val="clear" w:color="auto" w:fill="d5dce4" w:themeFill="text2" w:themeFillTint="33"/>
            <w:tcBorders/>
            <w:tcW w:w="3539" w:type="dxa"/>
            <w:textDirection w:val="lrTb"/>
            <w:noWrap w:val="false"/>
          </w:tcPr>
          <w:p>
            <w:pPr>
              <w:pBdr/>
              <w:spacing w:after="0" w:line="240" w:lineRule="auto"/>
              <w:ind w:left="284"/>
              <w:jc w:val="center"/>
              <w:rPr>
                <w:rFonts w:ascii="Arial" w:hAnsi="Arial" w:eastAsia="Times New Roman" w:cs="Arial"/>
                <w:b/>
                <w:bCs/>
                <w:caps/>
                <w:sz w:val="20"/>
                <w:szCs w:val="20"/>
                <w:lang w:val="en-GB"/>
              </w:rPr>
            </w:pPr>
            <w:r>
              <w:rPr>
                <w:rFonts w:ascii="Arial" w:hAnsi="Arial" w:eastAsia="Times New Roman" w:cs="Arial"/>
                <w:b/>
                <w:bCs/>
                <w:sz w:val="20"/>
                <w:szCs w:val="20"/>
                <w:lang w:val="en-GB"/>
              </w:rPr>
              <w:t xml:space="preserve">Project phase / Milestone</w:t>
            </w:r>
            <w:r>
              <w:rPr>
                <w:rFonts w:ascii="Arial" w:hAnsi="Arial" w:eastAsia="Times New Roman" w:cs="Arial"/>
                <w:b/>
                <w:bCs/>
                <w:caps/>
                <w:sz w:val="20"/>
                <w:szCs w:val="20"/>
                <w:lang w:val="en-GB"/>
              </w:rPr>
            </w:r>
          </w:p>
        </w:tc>
        <w:tc>
          <w:tcPr>
            <w:shd w:val="clear" w:color="auto" w:fill="d5dce4" w:themeFill="text2" w:themeFillTint="33"/>
            <w:tcBorders/>
            <w:tcW w:w="2221" w:type="dxa"/>
            <w:textDirection w:val="lrTb"/>
            <w:noWrap w:val="false"/>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Services</w:t>
            </w:r>
            <w:r>
              <w:rPr>
                <w:rFonts w:ascii="Arial" w:hAnsi="Arial" w:eastAsia="Times New Roman" w:cs="Arial"/>
                <w:b/>
                <w:bCs/>
                <w:sz w:val="20"/>
                <w:szCs w:val="20"/>
                <w:lang w:val="en-GB"/>
              </w:rPr>
            </w:r>
          </w:p>
        </w:tc>
        <w:tc>
          <w:tcPr>
            <w:shd w:val="clear" w:color="auto" w:fill="d5dce4" w:themeFill="text2" w:themeFillTint="33"/>
            <w:tcBorders/>
            <w:tcW w:w="2221" w:type="dxa"/>
            <w:textDirection w:val="lrTb"/>
            <w:noWrap w:val="false"/>
          </w:tcPr>
          <w:p>
            <w:pPr>
              <w:pBdr/>
              <w:spacing w:after="0" w:line="240" w:lineRule="auto"/>
              <w:ind w:left="284"/>
              <w:jc w:val="center"/>
              <w:rPr>
                <w:rFonts w:ascii="Arial" w:hAnsi="Arial" w:eastAsia="Times New Roman" w:cs="Arial"/>
                <w:b/>
                <w:bCs/>
                <w:caps/>
                <w:sz w:val="20"/>
                <w:szCs w:val="20"/>
                <w:lang w:val="en-GB"/>
              </w:rPr>
            </w:pPr>
            <w:r>
              <w:rPr>
                <w:rFonts w:ascii="Arial" w:hAnsi="Arial" w:eastAsia="Times New Roman" w:cs="Arial"/>
                <w:b/>
                <w:bCs/>
                <w:sz w:val="20"/>
                <w:szCs w:val="20"/>
                <w:lang w:val="en-GB"/>
              </w:rPr>
              <w:t xml:space="preserve">Start of service provision</w:t>
            </w:r>
            <w:r>
              <w:rPr>
                <w:rFonts w:ascii="Arial" w:hAnsi="Arial" w:eastAsia="Times New Roman" w:cs="Arial"/>
                <w:b/>
                <w:bCs/>
                <w:caps/>
                <w:sz w:val="20"/>
                <w:szCs w:val="20"/>
                <w:lang w:val="en-GB"/>
              </w:rPr>
            </w:r>
          </w:p>
        </w:tc>
        <w:tc>
          <w:tcPr>
            <w:shd w:val="clear" w:color="auto" w:fill="d5dce4" w:themeFill="text2" w:themeFillTint="33"/>
            <w:tcBorders/>
            <w:tcW w:w="2221" w:type="dxa"/>
            <w:textDirection w:val="lrTb"/>
            <w:noWrap w:val="false"/>
          </w:tcPr>
          <w:p>
            <w:pPr>
              <w:pBdr/>
              <w:spacing w:after="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End of service provision</w:t>
            </w:r>
            <w:r>
              <w:rPr>
                <w:rFonts w:ascii="Arial" w:hAnsi="Arial" w:eastAsia="Times New Roman" w:cs="Arial"/>
                <w:b/>
                <w:bCs/>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Project start</w:t>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szCs w:val="20"/>
                <w:lang w:val="en-GB"/>
              </w:rPr>
            </w:pPr>
            <w:r>
              <w:rPr>
                <w:rFonts w:ascii="Arial" w:hAnsi="Arial" w:eastAsia="Times New Roman" w:cs="Arial"/>
                <w:i/>
                <w:sz w:val="20"/>
                <w:szCs w:val="20"/>
                <w:lang w:val="en-GB"/>
              </w:rPr>
            </w:r>
            <w:r>
              <w:rPr>
                <w:rFonts w:ascii="Arial" w:hAnsi="Arial" w:eastAsia="Times New Roman" w:cs="Arial"/>
                <w:i/>
                <w:sz w:val="20"/>
                <w:szCs w:val="20"/>
                <w:lang w:val="en-GB"/>
              </w:rPr>
            </w:r>
          </w:p>
        </w:tc>
        <w:tc>
          <w:tcPr>
            <w:shd w:val="clear" w:color="auto" w:fill="auto"/>
            <w:tcBorders/>
            <w:tcW w:w="2221" w:type="dxa"/>
            <w:textDirection w:val="lrTb"/>
            <w:noWrap w:val="false"/>
          </w:tcPr>
          <w:p>
            <w:pPr>
              <w:pBdr/>
              <w:spacing w:after="0" w:line="240" w:lineRule="auto"/>
              <w:ind w:left="284"/>
              <w:rPr>
                <w:rFonts w:ascii="Arial" w:hAnsi="Arial" w:eastAsia="Times New Roman" w:cs="Arial"/>
                <w:b/>
                <w:i/>
                <w:sz w:val="20"/>
                <w:szCs w:val="20"/>
                <w:lang w:val="en-GB"/>
              </w:rPr>
            </w:pPr>
            <w:r>
              <w:rPr>
                <w:rFonts w:ascii="Arial" w:hAnsi="Arial" w:eastAsia="Times New Roman" w:cs="Arial"/>
                <w:b/>
                <w:i/>
                <w:sz w:val="20"/>
                <w:szCs w:val="20"/>
                <w:lang w:val="en-GB"/>
              </w:rPr>
              <w:t xml:space="preserve">dd.mm.yyyy</w:t>
            </w:r>
            <w:r>
              <w:rPr>
                <w:rFonts w:ascii="Arial" w:hAnsi="Arial" w:eastAsia="Times New Roman" w:cs="Arial"/>
                <w:b/>
                <w:i/>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b/>
                <w:i/>
                <w:sz w:val="20"/>
                <w:szCs w:val="20"/>
                <w:lang w:val="en-GB"/>
              </w:rPr>
            </w:pPr>
            <w:r>
              <w:rPr>
                <w:rFonts w:ascii="Arial" w:hAnsi="Arial" w:eastAsia="Times New Roman" w:cs="Arial"/>
                <w:b/>
                <w:i/>
                <w:sz w:val="20"/>
                <w:szCs w:val="20"/>
                <w:lang w:val="en-GB"/>
              </w:rPr>
              <w:t xml:space="preserve">dd.mm.yyyy</w:t>
            </w:r>
            <w:r>
              <w:rPr>
                <w:rFonts w:ascii="Arial" w:hAnsi="Arial" w:eastAsia="Times New Roman" w:cs="Arial"/>
                <w:b/>
                <w:i/>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sz w:val="20"/>
                <w:szCs w:val="20"/>
                <w:lang w:val="en-GB"/>
              </w:rPr>
              <w:t xml:space="preserve">Phase 1</w:t>
            </w:r>
            <w:r>
              <w:rPr>
                <w:rFonts w:ascii="Arial" w:hAnsi="Arial" w:eastAsia="Times New Roman" w:cs="Arial"/>
                <w:i/>
                <w:sz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lang w:val="en-GB"/>
              </w:rPr>
            </w:r>
            <w:r>
              <w:rPr>
                <w:rFonts w:ascii="Arial" w:hAnsi="Arial" w:eastAsia="Times New Roman" w:cs="Arial"/>
                <w:i/>
                <w:sz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szCs w:val="20"/>
                <w:lang w:val="en-GB"/>
              </w:rPr>
              <w:t xml:space="preserve">dd.mm.yyyy</w:t>
            </w:r>
            <w:r>
              <w:rPr>
                <w:rFonts w:ascii="Arial" w:hAnsi="Arial" w:eastAsia="Times New Roman" w:cs="Arial"/>
                <w:i/>
                <w:sz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Service 1</w:t>
            </w:r>
            <w:r>
              <w:rPr>
                <w:rFonts w:ascii="Arial" w:hAnsi="Arial" w:eastAsia="Times New Roman" w:cs="Arial"/>
                <w:sz w:val="20"/>
                <w:szCs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Service 2</w:t>
            </w:r>
            <w:r>
              <w:rPr>
                <w:rFonts w:ascii="Arial" w:hAnsi="Arial" w:eastAsia="Times New Roman" w:cs="Arial"/>
                <w:sz w:val="20"/>
                <w:szCs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Service 3</w:t>
            </w:r>
            <w:r>
              <w:rPr>
                <w:rFonts w:ascii="Arial" w:hAnsi="Arial" w:eastAsia="Times New Roman" w:cs="Arial"/>
                <w:sz w:val="20"/>
                <w:szCs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sz w:val="20"/>
                <w:szCs w:val="20"/>
                <w:lang w:val="en-GB"/>
              </w:rPr>
              <w:t xml:space="preserve">Phase 1</w:t>
            </w:r>
            <w:r>
              <w:rPr>
                <w:rFonts w:ascii="Arial" w:hAnsi="Arial" w:eastAsia="Times New Roman" w:cs="Arial"/>
                <w:i/>
                <w:sz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lang w:val="en-GB"/>
              </w:rPr>
            </w:r>
            <w:r>
              <w:rPr>
                <w:rFonts w:ascii="Arial" w:hAnsi="Arial" w:eastAsia="Times New Roman" w:cs="Arial"/>
                <w:i/>
                <w:sz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b/>
                <w:sz w:val="20"/>
                <w:szCs w:val="20"/>
                <w:lang w:val="en-GB"/>
              </w:rPr>
            </w:pPr>
            <w:r>
              <w:rPr>
                <w:rFonts w:ascii="Arial" w:hAnsi="Arial" w:eastAsia="Times New Roman" w:cs="Arial"/>
                <w:b/>
                <w:i/>
                <w:sz w:val="20"/>
                <w:szCs w:val="20"/>
                <w:lang w:val="en-GB"/>
              </w:rPr>
              <w:t xml:space="preserve">dd.mm.yyyy</w:t>
            </w:r>
            <w:r>
              <w:rPr>
                <w:rFonts w:ascii="Times New Roman" w:hAnsi="Times New Roman" w:eastAsia="Times New Roman" w:cs="Times New Roman"/>
                <w:b/>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b/>
                <w:sz w:val="20"/>
                <w:szCs w:val="20"/>
                <w:lang w:val="en-GB"/>
              </w:rPr>
            </w:pPr>
            <w:r>
              <w:rPr>
                <w:rFonts w:ascii="Arial" w:hAnsi="Arial" w:eastAsia="Times New Roman" w:cs="Arial"/>
                <w:b/>
                <w:i/>
                <w:sz w:val="20"/>
                <w:szCs w:val="20"/>
                <w:lang w:val="en-GB"/>
              </w:rPr>
              <w:t xml:space="preserve">dd.mm.yyyy</w:t>
            </w:r>
            <w:r>
              <w:rPr>
                <w:rFonts w:ascii="Times New Roman" w:hAnsi="Times New Roman" w:eastAsia="Times New Roman" w:cs="Times New Roman"/>
                <w:b/>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Service 4</w:t>
            </w:r>
            <w:r>
              <w:rPr>
                <w:rFonts w:ascii="Arial" w:hAnsi="Arial" w:eastAsia="Times New Roman" w:cs="Arial"/>
                <w:sz w:val="20"/>
                <w:szCs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Service 5</w:t>
            </w:r>
            <w:r>
              <w:rPr>
                <w:rFonts w:ascii="Arial" w:hAnsi="Arial" w:eastAsia="Times New Roman" w:cs="Arial"/>
                <w:sz w:val="20"/>
                <w:szCs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Service 6</w:t>
            </w:r>
            <w:r>
              <w:rPr>
                <w:rFonts w:ascii="Arial" w:hAnsi="Arial" w:eastAsia="Times New Roman" w:cs="Arial"/>
                <w:sz w:val="20"/>
                <w:szCs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Arial" w:hAnsi="Arial" w:eastAsia="Times New Roman" w:cs="Arial"/>
                <w:i/>
                <w:sz w:val="20"/>
                <w:szCs w:val="20"/>
                <w:lang w:val="en-GB"/>
              </w:rPr>
              <w:t xml:space="preserve">dd.mm.yyyy</w:t>
            </w:r>
            <w:r>
              <w:rPr>
                <w:rFonts w:ascii="Times New Roman" w:hAnsi="Times New Roman" w:eastAsia="Times New Roman" w:cs="Times New Roman"/>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w:t>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lang w:val="en-GB"/>
              </w:rPr>
            </w:r>
            <w:r>
              <w:rPr>
                <w:rFonts w:ascii="Arial" w:hAnsi="Arial" w:eastAsia="Times New Roman" w:cs="Arial"/>
                <w:i/>
                <w:sz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r>
            <w:r>
              <w:rPr>
                <w:rFonts w:ascii="Times New Roman" w:hAnsi="Times New Roman" w:eastAsia="Times New Roman" w:cs="Times New Roman"/>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r>
            <w:r>
              <w:rPr>
                <w:rFonts w:ascii="Times New Roman" w:hAnsi="Times New Roman" w:eastAsia="Times New Roman" w:cs="Times New Roman"/>
                <w:sz w:val="20"/>
                <w:szCs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lang w:val="en-GB"/>
              </w:rPr>
            </w:r>
            <w:r>
              <w:rPr>
                <w:rFonts w:ascii="Arial" w:hAnsi="Arial" w:eastAsia="Times New Roman" w:cs="Arial"/>
                <w:i/>
                <w:sz w:val="20"/>
                <w:lang w:val="en-GB"/>
              </w:rPr>
            </w:r>
          </w:p>
        </w:tc>
        <w:tc>
          <w:tcPr>
            <w:shd w:val="clear" w:color="auto" w:fill="auto"/>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lang w:val="en-GB"/>
              </w:rPr>
            </w:r>
            <w:r>
              <w:rPr>
                <w:rFonts w:ascii="Arial" w:hAnsi="Arial" w:eastAsia="Times New Roman" w:cs="Arial"/>
                <w:i/>
                <w:sz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lang w:val="en-GB"/>
              </w:rPr>
            </w:r>
            <w:r>
              <w:rPr>
                <w:rFonts w:ascii="Arial" w:hAnsi="Arial" w:eastAsia="Times New Roman" w:cs="Arial"/>
                <w:i/>
                <w:sz w:val="20"/>
                <w:lang w:val="en-GB"/>
              </w:rPr>
            </w:r>
          </w:p>
        </w:tc>
      </w:tr>
      <w:tr>
        <w:trPr/>
        <w:tc>
          <w:tcPr>
            <w:shd w:val="clear" w:color="auto" w:fill="auto"/>
            <w:tcBorders/>
            <w:tcW w:w="3539" w:type="dxa"/>
            <w:textDirection w:val="lrTb"/>
            <w:noWrap w:val="false"/>
          </w:tcPr>
          <w:p>
            <w:pPr>
              <w:pBdr/>
              <w:spacing w:after="0" w:line="240" w:lineRule="auto"/>
              <w:ind w:left="284"/>
              <w:rPr>
                <w:rFonts w:ascii="Arial" w:hAnsi="Arial" w:eastAsia="Times New Roman" w:cs="Arial"/>
                <w:sz w:val="20"/>
                <w:szCs w:val="20"/>
                <w:lang w:val="en-GB"/>
              </w:rPr>
            </w:pPr>
            <w:r>
              <w:rPr>
                <w:rFonts w:ascii="Arial" w:hAnsi="Arial" w:eastAsia="Times New Roman" w:cs="Arial"/>
                <w:sz w:val="20"/>
                <w:szCs w:val="20"/>
                <w:lang w:val="en-GB"/>
              </w:rPr>
              <w:t xml:space="preserve">Project end</w:t>
            </w:r>
            <w:r>
              <w:rPr>
                <w:rFonts w:ascii="Arial" w:hAnsi="Arial" w:eastAsia="Times New Roman" w:cs="Arial"/>
                <w:sz w:val="20"/>
                <w:szCs w:val="20"/>
                <w:lang w:val="en-GB"/>
              </w:rPr>
            </w:r>
          </w:p>
        </w:tc>
        <w:tc>
          <w:tcPr>
            <w:tcBorders/>
            <w:tcW w:w="2221" w:type="dxa"/>
            <w:textDirection w:val="lrTb"/>
            <w:noWrap w:val="false"/>
          </w:tcPr>
          <w:p>
            <w:pPr>
              <w:pBdr/>
              <w:spacing w:after="0" w:line="240" w:lineRule="auto"/>
              <w:ind w:left="284"/>
              <w:rPr>
                <w:rFonts w:ascii="Arial" w:hAnsi="Arial" w:eastAsia="Times New Roman" w:cs="Arial"/>
                <w:i/>
                <w:sz w:val="20"/>
                <w:lang w:val="en-GB"/>
              </w:rPr>
            </w:pPr>
            <w:r>
              <w:rPr>
                <w:rFonts w:ascii="Arial" w:hAnsi="Arial" w:eastAsia="Times New Roman" w:cs="Arial"/>
                <w:i/>
                <w:sz w:val="20"/>
                <w:lang w:val="en-GB"/>
              </w:rPr>
            </w:r>
            <w:r>
              <w:rPr>
                <w:rFonts w:ascii="Arial" w:hAnsi="Arial" w:eastAsia="Times New Roman" w:cs="Arial"/>
                <w:i/>
                <w:sz w:val="20"/>
                <w:lang w:val="en-GB"/>
              </w:rPr>
            </w:r>
          </w:p>
        </w:tc>
        <w:tc>
          <w:tcPr>
            <w:shd w:val="clear" w:color="auto" w:fill="auto"/>
            <w:tcBorders/>
            <w:tcW w:w="2221" w:type="dxa"/>
            <w:textDirection w:val="lrTb"/>
            <w:noWrap w:val="false"/>
          </w:tcPr>
          <w:p>
            <w:pPr>
              <w:pBdr/>
              <w:spacing w:after="0" w:line="240" w:lineRule="auto"/>
              <w:ind w:left="284"/>
              <w:rPr>
                <w:rFonts w:ascii="Times New Roman" w:hAnsi="Times New Roman" w:eastAsia="Times New Roman" w:cs="Times New Roman"/>
                <w:b/>
                <w:sz w:val="20"/>
                <w:szCs w:val="20"/>
                <w:lang w:val="en-GB"/>
              </w:rPr>
            </w:pPr>
            <w:r>
              <w:rPr>
                <w:rFonts w:ascii="Arial" w:hAnsi="Arial" w:eastAsia="Times New Roman" w:cs="Arial"/>
                <w:b/>
                <w:i/>
                <w:sz w:val="20"/>
                <w:szCs w:val="20"/>
                <w:lang w:val="en-GB"/>
              </w:rPr>
              <w:t xml:space="preserve">dd.mm.yyyy</w:t>
            </w:r>
            <w:r>
              <w:rPr>
                <w:rFonts w:ascii="Times New Roman" w:hAnsi="Times New Roman" w:eastAsia="Times New Roman" w:cs="Times New Roman"/>
                <w:b/>
                <w:sz w:val="20"/>
                <w:szCs w:val="20"/>
                <w:lang w:val="en-GB"/>
              </w:rPr>
            </w:r>
          </w:p>
        </w:tc>
        <w:tc>
          <w:tcPr>
            <w:tcBorders/>
            <w:tcW w:w="2221" w:type="dxa"/>
            <w:textDirection w:val="lrTb"/>
            <w:noWrap w:val="false"/>
          </w:tcPr>
          <w:p>
            <w:pPr>
              <w:pBdr/>
              <w:spacing w:after="0" w:line="240" w:lineRule="auto"/>
              <w:ind w:left="284"/>
              <w:rPr>
                <w:rFonts w:ascii="Times New Roman" w:hAnsi="Times New Roman" w:eastAsia="Times New Roman" w:cs="Times New Roman"/>
                <w:b/>
                <w:sz w:val="20"/>
                <w:szCs w:val="20"/>
                <w:lang w:val="en-GB"/>
              </w:rPr>
            </w:pPr>
            <w:r>
              <w:rPr>
                <w:rFonts w:ascii="Arial" w:hAnsi="Arial" w:eastAsia="Times New Roman" w:cs="Arial"/>
                <w:b/>
                <w:i/>
                <w:sz w:val="20"/>
                <w:szCs w:val="20"/>
                <w:lang w:val="en-GB"/>
              </w:rPr>
              <w:t xml:space="preserve">dd.mm.yyyy</w:t>
            </w:r>
            <w:r>
              <w:rPr>
                <w:rFonts w:ascii="Times New Roman" w:hAnsi="Times New Roman" w:eastAsia="Times New Roman" w:cs="Times New Roman"/>
                <w:b/>
                <w:sz w:val="20"/>
                <w:szCs w:val="20"/>
                <w:lang w:val="en-GB"/>
              </w:rPr>
            </w:r>
          </w:p>
        </w:tc>
      </w:tr>
    </w:tbl>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br w:type="textWrapping" w:clear="all"/>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6.6. IT equipment [and/or IT systems and/or IT infrastructure and/or </w:t>
      </w:r>
      <w:r>
        <w:rPr>
          <w:rFonts w:ascii="Arial" w:hAnsi="Arial" w:eastAsia="Times New Roman" w:cs="Arial"/>
          <w:b/>
          <w:bCs/>
          <w:i/>
          <w:sz w:val="20"/>
          <w:szCs w:val="20"/>
          <w:lang w:val="en-GB"/>
        </w:rPr>
        <w:t xml:space="preserve">IT application solutions</w:t>
      </w:r>
      <w:r>
        <w:rPr>
          <w:rFonts w:ascii="Arial" w:hAnsi="Arial" w:eastAsia="Times New Roman" w:cs="Arial"/>
          <w:b/>
          <w:bCs/>
          <w:sz w:val="20"/>
          <w:szCs w:val="20"/>
          <w:lang w:val="en-GB"/>
        </w:rPr>
        <w:t xml:space="preserve">]</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[only for the contracts on the delivery of IT systems maintenance services]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270" w:left="284"/>
        <w:jc w:val="both"/>
        <w:rPr>
          <w:rFonts w:ascii="Arial" w:hAnsi="Arial" w:eastAsia="Times New Roman" w:cs="Arial"/>
          <w:bCs/>
          <w:i/>
          <w:sz w:val="20"/>
          <w:szCs w:val="20"/>
          <w:lang w:val="en-GB"/>
        </w:rPr>
      </w:pPr>
      <w:r>
        <w:rPr>
          <w:rFonts w:ascii="Arial" w:hAnsi="Arial" w:eastAsia="Times New Roman" w:cs="Arial"/>
          <w:bCs/>
          <w:sz w:val="20"/>
          <w:szCs w:val="20"/>
          <w:lang w:val="en-GB"/>
        </w:rPr>
        <w:t xml:space="preserve">[</w:t>
      </w:r>
      <w:r>
        <w:rPr>
          <w:rFonts w:ascii="Arial" w:hAnsi="Arial" w:eastAsia="Times New Roman" w:cs="Arial"/>
          <w:bCs/>
          <w:i/>
          <w:sz w:val="20"/>
          <w:szCs w:val="20"/>
          <w:lang w:val="en-GB"/>
        </w:rPr>
        <w:t xml:space="preserve">In the case of services for the maintenance of IT equipment, infrastructure, applications, etc., specify the IT resources and components that the Contractor will maintain. The equipment location can also be specified.]</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6.7. Service support model </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[only for the contracts on the delivery of IT systems]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[Specification and description of the obligations of the Contractor / Client regarding the establishment of a service support / or project organization for the relevant services </w:t>
      </w:r>
      <w:r>
        <w:rPr>
          <w:rFonts w:ascii="Arial" w:hAnsi="Arial" w:eastAsia="Times New Roman" w:cs="Arial"/>
          <w:bCs/>
          <w:i/>
          <w:sz w:val="20"/>
          <w:szCs w:val="20"/>
          <w:lang w:val="en-GB"/>
        </w:rPr>
      </w:r>
    </w:p>
    <w:p>
      <w:pPr>
        <w:pBdr/>
        <w:spacing w:after="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[Example for servicing services or IT system maintenance services]</w:t>
      </w:r>
      <w:r>
        <w:rPr>
          <w:rFonts w:ascii="Arial" w:hAnsi="Arial" w:eastAsia="Times New Roman" w:cs="Arial"/>
          <w:bCs/>
          <w:i/>
          <w:sz w:val="20"/>
          <w:szCs w:val="20"/>
          <w:lang w:val="en-GB"/>
        </w:rPr>
      </w:r>
    </w:p>
    <w:p>
      <w:pPr>
        <w:pBdr/>
        <w:spacing w:after="0" w:line="240" w:lineRule="auto"/>
        <w:ind w:left="284"/>
        <w:rPr>
          <w:rFonts w:ascii="Arial" w:hAnsi="Arial" w:eastAsia="Times New Roman" w:cs="Arial"/>
          <w:bCs/>
          <w:sz w:val="20"/>
          <w:szCs w:val="20"/>
          <w:lang w:val="en-GB"/>
        </w:rPr>
      </w:pPr>
      <w:r>
        <w:rPr>
          <w:rFonts w:ascii="Arial" w:hAnsi="Arial" w:eastAsia="Times New Roman" w:cs="Arial"/>
          <w:bCs/>
          <w:sz w:val="20"/>
          <w:szCs w:val="20"/>
          <w:lang w:val="en-GB"/>
        </w:rPr>
        <w:t xml:space="preserve">Client shall order Services in accordance with Service support model which is organized in </w:t>
      </w:r>
      <w:r>
        <w:rPr>
          <w:rFonts w:ascii="Arial" w:hAnsi="Arial" w:eastAsia="Times New Roman" w:cs="Arial"/>
          <w:bCs/>
          <w:sz w:val="20"/>
          <w:szCs w:val="20"/>
        </w:rPr>
        <w:t xml:space="preserve">„</w:t>
      </w:r>
      <w:r>
        <w:rPr>
          <w:rFonts w:ascii="Arial" w:hAnsi="Arial" w:eastAsia="Times New Roman" w:cs="Arial"/>
          <w:bCs/>
          <w:sz w:val="20"/>
          <w:szCs w:val="20"/>
        </w:rPr>
        <w:t xml:space="preserve">n“ </w:t>
      </w:r>
      <w:r>
        <w:rPr>
          <w:rFonts w:ascii="Arial" w:hAnsi="Arial" w:eastAsia="Times New Roman" w:cs="Arial"/>
          <w:bCs/>
          <w:sz w:val="20"/>
          <w:szCs w:val="20"/>
        </w:rPr>
        <w:t xml:space="preserve">levels</w:t>
      </w:r>
      <w:r>
        <w:rPr>
          <w:rFonts w:ascii="Arial" w:hAnsi="Arial" w:eastAsia="Times New Roman" w:cs="Arial"/>
          <w:bCs/>
          <w:sz w:val="20"/>
          <w:szCs w:val="20"/>
          <w:lang w:val="en-GB"/>
        </w:rPr>
        <w:t xml:space="preserve">: </w:t>
      </w:r>
      <w:r>
        <w:rPr>
          <w:rFonts w:ascii="Arial" w:hAnsi="Arial" w:eastAsia="Times New Roman" w:cs="Arial"/>
          <w:bCs/>
          <w:sz w:val="20"/>
          <w:szCs w:val="20"/>
          <w:lang w:val="en-GB"/>
        </w:rPr>
      </w:r>
    </w:p>
    <w:p>
      <w:pPr>
        <w:numPr>
          <w:ilvl w:val="0"/>
          <w:numId w:val="2"/>
        </w:numPr>
        <w:pBdr/>
        <w:spacing w:after="0" w:before="120" w:line="240" w:lineRule="auto"/>
        <w:ind w:right="270"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Level 1 (IT Service Desk): receipt and registration of tickets, classification, escalation to the second level, solving of simple requests, collection of additional information.</w:t>
      </w:r>
      <w:r>
        <w:rPr>
          <w:rFonts w:ascii="Arial" w:hAnsi="Arial" w:eastAsia="Times New Roman" w:cs="Arial"/>
          <w:bCs/>
          <w:sz w:val="20"/>
          <w:szCs w:val="20"/>
          <w:lang w:val="en-GB"/>
        </w:rPr>
      </w:r>
    </w:p>
    <w:p>
      <w:pPr>
        <w:numPr>
          <w:ilvl w:val="0"/>
          <w:numId w:val="2"/>
        </w:numPr>
        <w:pBdr/>
        <w:spacing w:after="0" w:before="12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Level 2 (service support): processing of requests, solving incidents and requests in the domain of the second level of support, escalation to the third level </w:t>
      </w:r>
      <w:r>
        <w:rPr>
          <w:rFonts w:ascii="Arial" w:hAnsi="Arial" w:eastAsia="Times New Roman" w:cs="Arial"/>
          <w:bCs/>
          <w:sz w:val="20"/>
          <w:szCs w:val="20"/>
          <w:lang w:val="en-GB"/>
        </w:rPr>
      </w:r>
    </w:p>
    <w:p>
      <w:pPr>
        <w:numPr>
          <w:ilvl w:val="0"/>
          <w:numId w:val="2"/>
        </w:numPr>
        <w:pBdr/>
        <w:spacing w:after="0" w:before="12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Level 3 (Client): solving incidents and requests</w:t>
      </w:r>
      <w:r>
        <w:rPr>
          <w:rFonts w:ascii="Arial" w:hAnsi="Arial" w:eastAsia="Times New Roman" w:cs="Arial"/>
          <w:bCs/>
          <w:sz w:val="20"/>
          <w:szCs w:val="20"/>
          <w:lang w:val="en-GB"/>
        </w:rPr>
      </w:r>
    </w:p>
    <w:p>
      <w:pPr>
        <w:numPr>
          <w:ilvl w:val="0"/>
          <w:numId w:val="2"/>
        </w:numPr>
        <w:pBdr/>
        <w:spacing w:after="0" w:before="12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Level 4 (software or equipment manufacturer): solving incidents and requests</w:t>
      </w:r>
      <w:r>
        <w:rPr>
          <w:rFonts w:ascii="Arial" w:hAnsi="Arial" w:eastAsia="Times New Roman" w:cs="Arial"/>
          <w:bCs/>
          <w:sz w:val="20"/>
          <w:szCs w:val="20"/>
          <w:lang w:val="en-GB"/>
        </w:rPr>
      </w:r>
    </w:p>
    <w:p>
      <w:pPr>
        <w:numPr>
          <w:ilvl w:val="0"/>
          <w:numId w:val="2"/>
        </w:numPr>
        <w:pBdr/>
        <w:spacing w:after="0" w:before="12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Level 5 (IT infrastructure): reporting and solving incidents of IT infrastructure of the IT system </w:t>
      </w:r>
      <w:r>
        <w:rPr>
          <w:rFonts w:ascii="Arial" w:hAnsi="Arial" w:eastAsia="Times New Roman" w:cs="Arial"/>
          <w:bCs/>
          <w:sz w:val="20"/>
          <w:szCs w:val="20"/>
          <w:lang w:val="en-GB"/>
        </w:rPr>
      </w:r>
    </w:p>
    <w:p>
      <w:pPr>
        <w:numPr>
          <w:ilvl w:val="0"/>
          <w:numId w:val="2"/>
        </w:numPr>
        <w:pBdr/>
        <w:spacing w:after="0" w:before="120" w:line="240" w:lineRule="auto"/>
        <w:ind w:firstLine="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p>
      <w:pPr>
        <w:pBdr/>
        <w:spacing w:after="1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1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Client’s obligations for all levels of support it provides.</w:t>
      </w:r>
      <w:r>
        <w:rPr>
          <w:rFonts w:ascii="Arial" w:hAnsi="Arial" w:eastAsia="Times New Roman" w:cs="Arial"/>
          <w:bCs/>
          <w:i/>
          <w:sz w:val="20"/>
          <w:szCs w:val="20"/>
          <w:lang w:val="en-GB"/>
        </w:rPr>
      </w:r>
    </w:p>
    <w:p>
      <w:pPr>
        <w:pBdr/>
        <w:spacing w:after="1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For example</w:t>
      </w:r>
      <w:r>
        <w:rPr>
          <w:rFonts w:ascii="Arial" w:hAnsi="Arial" w:eastAsia="Times New Roman" w:cs="Arial"/>
          <w:bCs/>
          <w:i/>
          <w:sz w:val="20"/>
          <w:szCs w:val="20"/>
          <w:lang w:val="en-GB"/>
        </w:rPr>
      </w:r>
    </w:p>
    <w:tbl>
      <w:tblPr>
        <w:tblStyle w:val="829"/>
        <w:jc w:val="center"/>
        <w:tblW w:w="12084" w:type="dxa"/>
        <w:tblBorders/>
        <w:tblLayout w:type="fixed"/>
        <w:tblLook w:val="04A0" w:firstRow="1" w:lastRow="0" w:firstColumn="1" w:lastColumn="0" w:noHBand="0" w:noVBand="1"/>
      </w:tblPr>
      <w:tblGrid>
        <w:gridCol w:w="1255"/>
        <w:gridCol w:w="2340"/>
        <w:gridCol w:w="2369"/>
        <w:gridCol w:w="1260"/>
        <w:gridCol w:w="1293"/>
        <w:gridCol w:w="1350"/>
        <w:gridCol w:w="1080"/>
        <w:gridCol w:w="1137"/>
      </w:tblGrid>
      <w:tr>
        <w:trPr>
          <w:jc w:val="center"/>
          <w:tblHeader/>
        </w:trPr>
        <w:tc>
          <w:tcPr>
            <w:shd w:val="clear" w:color="auto" w:fill="d5dce4" w:themeFill="text2" w:themeFillTint="33"/>
            <w:tcBorders/>
            <w:tcW w:w="1255" w:type="dxa"/>
            <w:vAlign w:val="center"/>
            <w:vMerge w:val="restart"/>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Service code</w:t>
            </w:r>
            <w:r>
              <w:rPr>
                <w:rFonts w:ascii="Arial" w:hAnsi="Arial" w:cs="Arial"/>
                <w:b/>
                <w:szCs w:val="24"/>
                <w:lang w:val="en-GB"/>
              </w:rPr>
            </w:r>
          </w:p>
        </w:tc>
        <w:tc>
          <w:tcPr>
            <w:shd w:val="clear" w:color="auto" w:fill="d5dce4" w:themeFill="text2" w:themeFillTint="33"/>
            <w:tcBorders/>
            <w:tcW w:w="2340" w:type="dxa"/>
            <w:vAlign w:val="center"/>
            <w:vMerge w:val="restart"/>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Service</w:t>
            </w:r>
            <w:r>
              <w:rPr>
                <w:rFonts w:ascii="Arial" w:hAnsi="Arial" w:cs="Arial"/>
                <w:b/>
                <w:szCs w:val="24"/>
                <w:lang w:val="en-GB"/>
              </w:rPr>
            </w:r>
          </w:p>
        </w:tc>
        <w:tc>
          <w:tcPr>
            <w:shd w:val="clear" w:color="auto" w:fill="d5dce4" w:themeFill="text2" w:themeFillTint="33"/>
            <w:tcBorders/>
            <w:tcW w:w="2369" w:type="dxa"/>
            <w:vAlign w:val="center"/>
            <w:vMerge w:val="restart"/>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Responsibilities</w:t>
            </w:r>
            <w:r>
              <w:rPr>
                <w:rFonts w:ascii="Arial" w:hAnsi="Arial" w:cs="Arial"/>
                <w:b/>
                <w:szCs w:val="24"/>
                <w:lang w:val="en-GB"/>
              </w:rPr>
            </w:r>
          </w:p>
        </w:tc>
        <w:tc>
          <w:tcPr>
            <w:gridSpan w:val="5"/>
            <w:shd w:val="clear" w:color="auto" w:fill="d5dce4" w:themeFill="text2" w:themeFillTint="33"/>
            <w:tcBorders/>
            <w:tcW w:w="6120"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Level of support</w:t>
            </w:r>
            <w:r>
              <w:rPr>
                <w:rFonts w:ascii="Arial" w:hAnsi="Arial" w:cs="Arial"/>
                <w:b/>
                <w:szCs w:val="24"/>
                <w:lang w:val="en-GB"/>
              </w:rPr>
            </w:r>
          </w:p>
        </w:tc>
      </w:tr>
      <w:tr>
        <w:trPr>
          <w:jc w:val="center"/>
          <w:tblHeader/>
        </w:trPr>
        <w:tc>
          <w:tcPr>
            <w:shd w:val="clear" w:color="auto" w:fill="d5dce4" w:themeFill="text2" w:themeFillTint="33"/>
            <w:tcBorders/>
            <w:tcW w:w="1255" w:type="dxa"/>
            <w:vAlign w:val="center"/>
            <w:vMerge w:val="continue"/>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r>
            <w:r>
              <w:rPr>
                <w:rFonts w:ascii="Arial" w:hAnsi="Arial" w:cs="Arial"/>
                <w:b/>
                <w:szCs w:val="24"/>
                <w:lang w:val="en-GB"/>
              </w:rPr>
            </w:r>
          </w:p>
        </w:tc>
        <w:tc>
          <w:tcPr>
            <w:shd w:val="clear" w:color="auto" w:fill="d5dce4" w:themeFill="text2" w:themeFillTint="33"/>
            <w:tcBorders/>
            <w:tcW w:w="2340" w:type="dxa"/>
            <w:vAlign w:val="center"/>
            <w:vMerge w:val="continue"/>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r>
            <w:r>
              <w:rPr>
                <w:rFonts w:ascii="Arial" w:hAnsi="Arial" w:cs="Arial"/>
                <w:b/>
                <w:szCs w:val="24"/>
                <w:lang w:val="en-GB"/>
              </w:rPr>
            </w:r>
          </w:p>
        </w:tc>
        <w:tc>
          <w:tcPr>
            <w:shd w:val="clear" w:color="auto" w:fill="d5dce4" w:themeFill="text2" w:themeFillTint="33"/>
            <w:tcBorders/>
            <w:tcW w:w="2369" w:type="dxa"/>
            <w:vAlign w:val="center"/>
            <w:vMerge w:val="continue"/>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r>
            <w:r>
              <w:rPr>
                <w:rFonts w:ascii="Arial" w:hAnsi="Arial" w:cs="Arial"/>
                <w:b/>
                <w:szCs w:val="24"/>
                <w:lang w:val="en-GB"/>
              </w:rPr>
            </w:r>
          </w:p>
        </w:tc>
        <w:tc>
          <w:tcPr>
            <w:shd w:val="clear" w:color="auto" w:fill="d5dce4" w:themeFill="text2" w:themeFillTint="33"/>
            <w:tcBorders/>
            <w:tcW w:w="1260"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1</w:t>
            </w:r>
            <w:r>
              <w:rPr>
                <w:rFonts w:ascii="Arial" w:hAnsi="Arial" w:cs="Arial"/>
                <w:b/>
                <w:szCs w:val="24"/>
                <w:lang w:val="en-GB"/>
              </w:rPr>
            </w:r>
          </w:p>
        </w:tc>
        <w:tc>
          <w:tcPr>
            <w:shd w:val="clear" w:color="auto" w:fill="d5dce4" w:themeFill="text2" w:themeFillTint="33"/>
            <w:tcBorders/>
            <w:tcW w:w="1293"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2</w:t>
            </w:r>
            <w:r>
              <w:rPr>
                <w:rFonts w:ascii="Arial" w:hAnsi="Arial" w:cs="Arial"/>
                <w:b/>
                <w:szCs w:val="24"/>
                <w:lang w:val="en-GB"/>
              </w:rPr>
            </w:r>
          </w:p>
        </w:tc>
        <w:tc>
          <w:tcPr>
            <w:shd w:val="clear" w:color="auto" w:fill="d5dce4" w:themeFill="text2" w:themeFillTint="33"/>
            <w:tcBorders/>
            <w:tcW w:w="1350"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3</w:t>
            </w:r>
            <w:r>
              <w:rPr>
                <w:rFonts w:ascii="Arial" w:hAnsi="Arial" w:cs="Arial"/>
                <w:b/>
                <w:szCs w:val="24"/>
                <w:lang w:val="en-GB"/>
              </w:rPr>
            </w:r>
          </w:p>
        </w:tc>
        <w:tc>
          <w:tcPr>
            <w:shd w:val="clear" w:color="auto" w:fill="d5dce4" w:themeFill="text2" w:themeFillTint="33"/>
            <w:tcBorders/>
            <w:tcW w:w="1080"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4</w:t>
            </w:r>
            <w:r>
              <w:rPr>
                <w:rFonts w:ascii="Arial" w:hAnsi="Arial" w:cs="Arial"/>
                <w:b/>
                <w:szCs w:val="24"/>
                <w:lang w:val="en-GB"/>
              </w:rPr>
            </w:r>
          </w:p>
        </w:tc>
        <w:tc>
          <w:tcPr>
            <w:shd w:val="clear" w:color="auto" w:fill="d5dce4" w:themeFill="text2" w:themeFillTint="33"/>
            <w:tcBorders/>
            <w:tcW w:w="1137" w:type="dxa"/>
            <w:vAlign w:val="center"/>
            <w:textDirection w:val="lrTb"/>
            <w:noWrap w:val="false"/>
          </w:tcPr>
          <w:p>
            <w:pPr>
              <w:pBdr/>
              <w:spacing w:after="0" w:before="60"/>
              <w:ind w:left="284"/>
              <w:jc w:val="center"/>
              <w:rPr>
                <w:rFonts w:ascii="Arial" w:hAnsi="Arial" w:cs="Arial"/>
                <w:b/>
                <w:szCs w:val="24"/>
                <w:lang w:val="en-GB"/>
              </w:rPr>
            </w:pPr>
            <w:r>
              <w:rPr>
                <w:rFonts w:ascii="Arial" w:hAnsi="Arial" w:cs="Arial"/>
                <w:b/>
                <w:szCs w:val="24"/>
                <w:lang w:val="en-GB"/>
              </w:rPr>
              <w:t xml:space="preserve">5</w:t>
            </w:r>
            <w:r>
              <w:rPr>
                <w:rFonts w:ascii="Arial" w:hAnsi="Arial" w:cs="Arial"/>
                <w:b/>
                <w:szCs w:val="24"/>
                <w:lang w:val="en-GB"/>
              </w:rPr>
            </w:r>
          </w:p>
        </w:tc>
      </w:tr>
      <w:tr>
        <w:trPr>
          <w:jc w:val="center"/>
        </w:trPr>
        <w:tc>
          <w:tcPr>
            <w:tcBorders/>
            <w:tcW w:w="1255" w:type="dxa"/>
            <w:vAlign w:val="center"/>
            <w:vMerge w:val="restart"/>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S01</w:t>
            </w:r>
            <w:r>
              <w:rPr>
                <w:rFonts w:ascii="Arial" w:hAnsi="Arial" w:cs="Arial"/>
                <w:i/>
                <w:szCs w:val="24"/>
                <w:lang w:val="en-GB"/>
              </w:rPr>
            </w:r>
          </w:p>
        </w:tc>
        <w:tc>
          <w:tcPr>
            <w:tcBorders/>
            <w:tcW w:w="2340" w:type="dxa"/>
            <w:vAlign w:val="center"/>
            <w:vMerge w:val="restart"/>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Service 1</w:t>
            </w:r>
            <w:r>
              <w:rPr>
                <w:rFonts w:ascii="Arial" w:hAnsi="Arial" w:cs="Arial"/>
                <w:i/>
                <w:szCs w:val="24"/>
                <w:lang w:val="en-GB"/>
              </w:rPr>
            </w:r>
          </w:p>
        </w:tc>
        <w:tc>
          <w:tcPr>
            <w:tcBorders/>
            <w:tcW w:w="2369" w:type="dxa"/>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126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293"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35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08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137"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r>
      <w:tr>
        <w:trPr>
          <w:jc w:val="center"/>
        </w:trPr>
        <w:tc>
          <w:tcPr>
            <w:tcBorders/>
            <w:tcW w:w="1255" w:type="dxa"/>
            <w:vMerge w:val="continue"/>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2340" w:type="dxa"/>
            <w:vMerge w:val="continue"/>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2369" w:type="dxa"/>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126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293"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35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08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137"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r>
      <w:tr>
        <w:trPr>
          <w:jc w:val="center"/>
        </w:trPr>
        <w:tc>
          <w:tcPr>
            <w:tcBorders/>
            <w:tcW w:w="1255" w:type="dxa"/>
            <w:vMerge w:val="continue"/>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2340" w:type="dxa"/>
            <w:vMerge w:val="continue"/>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2369" w:type="dxa"/>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126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293"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35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08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137"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r>
      <w:tr>
        <w:trPr>
          <w:jc w:val="center"/>
        </w:trPr>
        <w:tc>
          <w:tcPr>
            <w:tcBorders/>
            <w:tcW w:w="1255" w:type="dxa"/>
            <w:vMerge w:val="continue"/>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2340" w:type="dxa"/>
            <w:vMerge w:val="continue"/>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2369" w:type="dxa"/>
            <w:textDirection w:val="lrTb"/>
            <w:noWrap w:val="false"/>
          </w:tcPr>
          <w:p>
            <w:pPr>
              <w:pBdr/>
              <w:spacing w:after="0"/>
              <w:ind w:left="284"/>
              <w:rPr>
                <w:rFonts w:ascii="Arial" w:hAnsi="Arial" w:cs="Arial"/>
                <w:i/>
                <w:szCs w:val="24"/>
                <w:lang w:val="en-GB"/>
              </w:rPr>
            </w:pPr>
            <w:r>
              <w:rPr>
                <w:rFonts w:ascii="Arial" w:hAnsi="Arial" w:cs="Arial"/>
                <w:i/>
                <w:szCs w:val="24"/>
                <w:lang w:val="en-GB"/>
              </w:rPr>
            </w:r>
            <w:r>
              <w:rPr>
                <w:rFonts w:ascii="Arial" w:hAnsi="Arial" w:cs="Arial"/>
                <w:i/>
                <w:szCs w:val="24"/>
                <w:lang w:val="en-GB"/>
              </w:rPr>
            </w:r>
          </w:p>
        </w:tc>
        <w:tc>
          <w:tcPr>
            <w:tcBorders/>
            <w:tcW w:w="126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293"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35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080"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c>
          <w:tcPr>
            <w:tcBorders/>
            <w:tcW w:w="1137" w:type="dxa"/>
            <w:vAlign w:val="center"/>
            <w:textDirection w:val="lrTb"/>
            <w:noWrap w:val="false"/>
          </w:tcPr>
          <w:p>
            <w:pPr>
              <w:pBdr/>
              <w:spacing w:after="0"/>
              <w:ind w:left="284"/>
              <w:jc w:val="center"/>
              <w:rPr>
                <w:rFonts w:ascii="Arial" w:hAnsi="Arial" w:cs="Arial"/>
                <w:i/>
                <w:szCs w:val="24"/>
                <w:lang w:val="en-GB"/>
              </w:rPr>
            </w:pPr>
            <w:r>
              <w:rPr>
                <w:rFonts w:ascii="Arial" w:hAnsi="Arial" w:cs="Arial"/>
                <w:i/>
                <w:szCs w:val="24"/>
                <w:lang w:val="en-GB"/>
              </w:rPr>
              <w:t xml:space="preserve">-</w:t>
            </w:r>
            <w:r>
              <w:rPr>
                <w:rFonts w:ascii="Arial" w:hAnsi="Arial" w:cs="Arial"/>
                <w:i/>
                <w:szCs w:val="24"/>
                <w:lang w:val="en-GB"/>
              </w:rPr>
            </w:r>
          </w:p>
        </w:tc>
      </w:tr>
      <w:tr>
        <w:trPr>
          <w:jc w:val="center"/>
        </w:trPr>
        <w:tc>
          <w:tcPr>
            <w:tcBorders/>
            <w:tcW w:w="1255" w:type="dxa"/>
            <w:vMerge w:val="continue"/>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2340" w:type="dxa"/>
            <w:vMerge w:val="continue"/>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2369"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260"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293"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350"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080"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137"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r>
      <w:tr>
        <w:trPr>
          <w:jc w:val="center"/>
        </w:trPr>
        <w:tc>
          <w:tcPr>
            <w:tcBorders/>
            <w:tcW w:w="1255"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2340"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2369" w:type="dxa"/>
            <w:textDirection w:val="lrTb"/>
            <w:noWrap w:val="false"/>
          </w:tcPr>
          <w:p>
            <w:pPr>
              <w:pBdr/>
              <w:spacing w:after="0"/>
              <w:ind w:left="284"/>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260"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293"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350"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080"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c>
          <w:tcPr>
            <w:tcBorders/>
            <w:tcW w:w="1137" w:type="dxa"/>
            <w:vAlign w:val="center"/>
            <w:textDirection w:val="lrTb"/>
            <w:noWrap w:val="false"/>
          </w:tcPr>
          <w:p>
            <w:pPr>
              <w:pBdr/>
              <w:spacing w:after="0"/>
              <w:ind w:left="284"/>
              <w:jc w:val="center"/>
              <w:rPr>
                <w:rFonts w:ascii="Arial" w:hAnsi="Arial" w:cs="Arial"/>
                <w:szCs w:val="24"/>
                <w:lang w:val="en-GB"/>
              </w:rPr>
            </w:pPr>
            <w:r>
              <w:rPr>
                <w:rFonts w:ascii="Arial" w:hAnsi="Arial" w:cs="Arial"/>
                <w:szCs w:val="24"/>
                <w:lang w:val="en-GB"/>
              </w:rPr>
            </w:r>
            <w:r>
              <w:rPr>
                <w:rFonts w:ascii="Arial" w:hAnsi="Arial" w:cs="Arial"/>
                <w:szCs w:val="24"/>
                <w:lang w:val="en-GB"/>
              </w:rPr>
            </w:r>
          </w:p>
        </w:tc>
      </w:tr>
    </w:tbl>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7. ORGANISATION, ROLES AND RESPONSIBILITIES</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7.1. Organisation</w:t>
      </w:r>
      <w:r>
        <w:rPr>
          <w:rFonts w:ascii="Arial" w:hAnsi="Arial" w:eastAsia="Times New Roman" w:cs="Arial"/>
          <w:b/>
          <w:bCs/>
          <w:sz w:val="20"/>
          <w:szCs w:val="20"/>
          <w:lang w:val="en-GB"/>
        </w:rPr>
      </w:r>
    </w:p>
    <w:p>
      <w:pPr>
        <w:pBdr/>
        <w:spacing w:after="0" w:line="240" w:lineRule="auto"/>
        <w:ind w:right="270"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organizational and management levels and bodies that make the authorized representatives of the Contractor and the Client, define the roles on both sides (e.g. by levels: strategic, tactical and operation</w:t>
      </w:r>
      <w:r>
        <w:rPr>
          <w:rFonts w:ascii="Arial" w:hAnsi="Arial" w:eastAsia="Times New Roman" w:cs="Arial"/>
          <w:bCs/>
          <w:i/>
          <w:sz w:val="20"/>
          <w:szCs w:val="20"/>
          <w:lang w:val="en-GB"/>
        </w:rPr>
        <w:t xml:space="preserve">al). Depending on the service milestones, define the organization for each milestone, if it is different. (e.g. organization in the phase of Transition, Transformation, etc.). The organizational charts can also be used in order to facilitate presentation.]</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7.2. Roles and responsibilities  </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[The types of presentation other than the proposed table can also be used] </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tbl>
      <w:tblPr>
        <w:tblInd w:w="1327" w:type="dxa"/>
        <w:tblW w:w="8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98"/>
        <w:gridCol w:w="6360"/>
      </w:tblGrid>
      <w:tr>
        <w:trPr>
          <w:trHeight w:val="502"/>
          <w:tblHeader/>
        </w:trPr>
        <w:tc>
          <w:tcPr>
            <w:shd w:val="clear" w:color="auto" w:fill="d5dce4" w:themeFill="text2" w:themeFillTint="33"/>
            <w:tcBorders/>
            <w:tcW w:w="2298" w:type="dxa"/>
            <w:vAlign w:val="center"/>
            <w:textDirection w:val="lrTb"/>
            <w:noWrap w:val="false"/>
          </w:tcPr>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t xml:space="preserve">Role</w:t>
            </w:r>
            <w:r>
              <w:rPr>
                <w:rFonts w:ascii="Arial" w:hAnsi="Arial" w:eastAsia="Calibri" w:cs="Arial"/>
                <w:b/>
                <w:bCs/>
                <w:sz w:val="20"/>
                <w:szCs w:val="18"/>
                <w:lang w:val="en-GB" w:eastAsia="nl-NL"/>
              </w:rPr>
            </w:r>
          </w:p>
        </w:tc>
        <w:tc>
          <w:tcPr>
            <w:shd w:val="clear" w:color="auto" w:fill="d5dce4" w:themeFill="text2" w:themeFillTint="33"/>
            <w:tcBorders/>
            <w:tcW w:w="6360" w:type="dxa"/>
            <w:vAlign w:val="center"/>
            <w:textDirection w:val="lrTb"/>
            <w:noWrap w:val="false"/>
          </w:tcPr>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t xml:space="preserve">Responsibility</w:t>
            </w:r>
            <w:r>
              <w:rPr>
                <w:rFonts w:ascii="Arial" w:hAnsi="Arial" w:eastAsia="Calibri" w:cs="Arial"/>
                <w:b/>
                <w:bCs/>
                <w:sz w:val="20"/>
                <w:szCs w:val="18"/>
                <w:lang w:val="en-GB" w:eastAsia="nl-NL"/>
              </w:rPr>
            </w:r>
          </w:p>
        </w:tc>
      </w:tr>
      <w:tr>
        <w:trPr/>
        <w:tc>
          <w:tcPr>
            <w:gridSpan w:val="2"/>
            <w:shd w:val="clear" w:color="auto" w:fill="d5dce4" w:themeFill="text2" w:themeFillTint="33"/>
            <w:tcBorders/>
            <w:tcW w:w="8658" w:type="dxa"/>
            <w:vAlign w:val="center"/>
            <w:textDirection w:val="lrTb"/>
            <w:noWrap w:val="false"/>
          </w:tcPr>
          <w:p>
            <w:pPr>
              <w:pBdr/>
              <w:spacing w:after="60" w:line="240" w:lineRule="auto"/>
              <w:ind w:left="284"/>
              <w:jc w:val="center"/>
              <w:rPr>
                <w:rFonts w:ascii="Arial" w:hAnsi="Arial" w:eastAsia="Calibri" w:cs="Arial"/>
                <w:b/>
                <w:sz w:val="20"/>
                <w:szCs w:val="18"/>
                <w:lang w:val="en-GB" w:eastAsia="nl-NL"/>
              </w:rPr>
            </w:pPr>
            <w:r>
              <w:rPr>
                <w:rFonts w:ascii="Arial" w:hAnsi="Arial" w:eastAsia="Calibri" w:cs="Arial"/>
                <w:b/>
                <w:sz w:val="20"/>
                <w:szCs w:val="18"/>
                <w:lang w:val="en-GB" w:eastAsia="nl-NL"/>
              </w:rPr>
              <w:t xml:space="preserve">Contractor</w:t>
            </w:r>
            <w:r>
              <w:rPr>
                <w:rFonts w:ascii="Arial" w:hAnsi="Arial" w:eastAsia="Calibri" w:cs="Arial"/>
                <w:b/>
                <w:sz w:val="20"/>
                <w:szCs w:val="18"/>
                <w:lang w:val="en-GB" w:eastAsia="nl-NL"/>
              </w:rPr>
            </w:r>
          </w:p>
        </w:tc>
      </w:tr>
      <w:tr>
        <w:trPr/>
        <w:tc>
          <w:tcPr>
            <w:shd w:val="clear" w:color="auto" w:fill="d5dce4" w:themeFill="text2" w:themeFillTint="33"/>
            <w:tcBorders/>
            <w:tcW w:w="2298"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t xml:space="preserve">Role 1</w:t>
            </w:r>
            <w:r>
              <w:rPr>
                <w:rFonts w:ascii="Arial" w:hAnsi="Arial" w:eastAsia="Calibri" w:cs="Arial"/>
                <w:sz w:val="20"/>
                <w:szCs w:val="18"/>
                <w:lang w:val="en-GB" w:eastAsia="nl-NL"/>
              </w:rPr>
            </w:r>
          </w:p>
        </w:tc>
        <w:tc>
          <w:tcPr>
            <w:tcBorders/>
            <w:tcW w:w="6360" w:type="dxa"/>
            <w:vAlign w:val="center"/>
            <w:textDirection w:val="lrTb"/>
            <w:noWrap w:val="false"/>
          </w:tcPr>
          <w:p>
            <w:pPr>
              <w:pBdr/>
              <w:tabs>
                <w:tab w:val="num" w:leader="none" w:pos="722"/>
              </w:tabs>
              <w:spacing w:after="60" w:line="240" w:lineRule="auto"/>
              <w:ind w:left="284"/>
              <w:jc w:val="both"/>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r>
      <w:tr>
        <w:trPr/>
        <w:tc>
          <w:tcPr>
            <w:shd w:val="clear" w:color="auto" w:fill="d5dce4" w:themeFill="text2" w:themeFillTint="33"/>
            <w:tcBorders/>
            <w:tcW w:w="2298"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t xml:space="preserve">Role 2</w:t>
            </w:r>
            <w:r>
              <w:rPr>
                <w:rFonts w:ascii="Arial" w:hAnsi="Arial" w:eastAsia="Calibri" w:cs="Arial"/>
                <w:sz w:val="20"/>
                <w:szCs w:val="18"/>
                <w:lang w:val="en-GB" w:eastAsia="nl-NL"/>
              </w:rPr>
            </w:r>
          </w:p>
        </w:tc>
        <w:tc>
          <w:tcPr>
            <w:tcBorders/>
            <w:tcW w:w="6360" w:type="dxa"/>
            <w:vAlign w:val="center"/>
            <w:textDirection w:val="lrTb"/>
            <w:noWrap w:val="false"/>
          </w:tcPr>
          <w:p>
            <w:pPr>
              <w:pBdr/>
              <w:tabs>
                <w:tab w:val="num" w:leader="none" w:pos="722"/>
              </w:tabs>
              <w:spacing w:after="60" w:line="240" w:lineRule="auto"/>
              <w:ind w:left="284"/>
              <w:jc w:val="both"/>
              <w:rPr>
                <w:rFonts w:ascii="Arial" w:hAnsi="Arial" w:eastAsia="Calibri" w:cs="Arial"/>
                <w:sz w:val="20"/>
                <w:szCs w:val="20"/>
                <w:lang w:val="en-GB"/>
              </w:rPr>
            </w:pPr>
            <w:r>
              <w:rPr>
                <w:rFonts w:ascii="Arial" w:hAnsi="Arial" w:eastAsia="Calibri" w:cs="Arial"/>
                <w:sz w:val="20"/>
                <w:szCs w:val="20"/>
                <w:lang w:val="en-GB"/>
              </w:rPr>
            </w:r>
            <w:r>
              <w:rPr>
                <w:rFonts w:ascii="Arial" w:hAnsi="Arial" w:eastAsia="Calibri" w:cs="Arial"/>
                <w:sz w:val="20"/>
                <w:szCs w:val="20"/>
                <w:lang w:val="en-GB"/>
              </w:rPr>
            </w:r>
          </w:p>
        </w:tc>
      </w:tr>
      <w:tr>
        <w:trPr/>
        <w:tc>
          <w:tcPr>
            <w:shd w:val="clear" w:color="auto" w:fill="d5dce4" w:themeFill="text2" w:themeFillTint="33"/>
            <w:tcBorders/>
            <w:tcW w:w="2298"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t xml:space="preserve">Role 3</w:t>
            </w:r>
            <w:r>
              <w:rPr>
                <w:rFonts w:ascii="Arial" w:hAnsi="Arial" w:eastAsia="Calibri" w:cs="Arial"/>
                <w:sz w:val="20"/>
                <w:szCs w:val="18"/>
                <w:lang w:val="en-GB" w:eastAsia="nl-NL"/>
              </w:rPr>
            </w:r>
          </w:p>
        </w:tc>
        <w:tc>
          <w:tcPr>
            <w:tcBorders/>
            <w:tcW w:w="6360" w:type="dxa"/>
            <w:vAlign w:val="center"/>
            <w:textDirection w:val="lrTb"/>
            <w:noWrap w:val="false"/>
          </w:tcPr>
          <w:p>
            <w:pPr>
              <w:pBdr/>
              <w:tabs>
                <w:tab w:val="num" w:leader="none" w:pos="722"/>
              </w:tabs>
              <w:spacing w:after="60" w:line="240" w:lineRule="auto"/>
              <w:ind w:left="284"/>
              <w:jc w:val="both"/>
              <w:rPr>
                <w:rFonts w:ascii="Arial" w:hAnsi="Arial" w:eastAsia="Calibri" w:cs="Arial"/>
                <w:sz w:val="20"/>
                <w:szCs w:val="20"/>
                <w:lang w:val="en-GB"/>
              </w:rPr>
            </w:pPr>
            <w:r>
              <w:rPr>
                <w:rFonts w:ascii="Arial" w:hAnsi="Arial" w:eastAsia="Calibri" w:cs="Arial"/>
                <w:sz w:val="20"/>
                <w:szCs w:val="20"/>
                <w:lang w:val="en-GB"/>
              </w:rPr>
            </w:r>
            <w:r>
              <w:rPr>
                <w:rFonts w:ascii="Arial" w:hAnsi="Arial" w:eastAsia="Calibri" w:cs="Arial"/>
                <w:sz w:val="20"/>
                <w:szCs w:val="20"/>
                <w:lang w:val="en-GB"/>
              </w:rPr>
            </w:r>
          </w:p>
        </w:tc>
      </w:tr>
      <w:tr>
        <w:trPr/>
        <w:tc>
          <w:tcPr>
            <w:gridSpan w:val="2"/>
            <w:shd w:val="clear" w:color="auto" w:fill="d5dce4" w:themeFill="text2" w:themeFillTint="33"/>
            <w:tcBorders/>
            <w:tcW w:w="8658" w:type="dxa"/>
            <w:vAlign w:val="center"/>
            <w:textDirection w:val="lrTb"/>
            <w:noWrap w:val="false"/>
          </w:tcPr>
          <w:p>
            <w:pPr>
              <w:pBdr/>
              <w:spacing w:after="60" w:line="240" w:lineRule="auto"/>
              <w:ind w:left="284"/>
              <w:jc w:val="center"/>
              <w:rPr>
                <w:rFonts w:ascii="Arial" w:hAnsi="Arial" w:eastAsia="Calibri" w:cs="Arial"/>
                <w:sz w:val="20"/>
                <w:szCs w:val="20"/>
                <w:lang w:val="en-GB"/>
              </w:rPr>
            </w:pPr>
            <w:r>
              <w:rPr>
                <w:rFonts w:ascii="Arial" w:hAnsi="Arial" w:eastAsia="Calibri" w:cs="Arial"/>
                <w:b/>
                <w:sz w:val="20"/>
                <w:szCs w:val="18"/>
                <w:lang w:val="en-GB" w:eastAsia="nl-NL"/>
              </w:rPr>
              <w:t xml:space="preserve">Client</w:t>
            </w:r>
            <w:r>
              <w:rPr>
                <w:rFonts w:ascii="Arial" w:hAnsi="Arial" w:eastAsia="Calibri" w:cs="Arial"/>
                <w:sz w:val="20"/>
                <w:szCs w:val="20"/>
                <w:lang w:val="en-GB"/>
              </w:rPr>
            </w:r>
          </w:p>
        </w:tc>
      </w:tr>
      <w:tr>
        <w:trPr/>
        <w:tc>
          <w:tcPr>
            <w:shd w:val="clear" w:color="auto" w:fill="d5dce4" w:themeFill="text2" w:themeFillTint="33"/>
            <w:tcBorders/>
            <w:tcW w:w="2298"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6360" w:type="dxa"/>
            <w:vAlign w:val="center"/>
            <w:textDirection w:val="lrTb"/>
            <w:noWrap w:val="false"/>
          </w:tcPr>
          <w:p>
            <w:pPr>
              <w:pBdr/>
              <w:tabs>
                <w:tab w:val="num" w:leader="none" w:pos="722"/>
              </w:tabs>
              <w:spacing w:after="60" w:line="240" w:lineRule="auto"/>
              <w:ind w:left="284"/>
              <w:jc w:val="both"/>
              <w:rPr>
                <w:rFonts w:ascii="Arial" w:hAnsi="Arial" w:eastAsia="Calibri" w:cs="Arial"/>
                <w:sz w:val="20"/>
                <w:szCs w:val="20"/>
                <w:lang w:val="en-GB"/>
              </w:rPr>
            </w:pPr>
            <w:r>
              <w:rPr>
                <w:rFonts w:ascii="Arial" w:hAnsi="Arial" w:eastAsia="Calibri" w:cs="Arial"/>
                <w:sz w:val="20"/>
                <w:szCs w:val="20"/>
                <w:lang w:val="en-GB"/>
              </w:rPr>
            </w:r>
            <w:r>
              <w:rPr>
                <w:rFonts w:ascii="Arial" w:hAnsi="Arial" w:eastAsia="Calibri" w:cs="Arial"/>
                <w:sz w:val="20"/>
                <w:szCs w:val="20"/>
                <w:lang w:val="en-GB"/>
              </w:rPr>
            </w:r>
          </w:p>
        </w:tc>
      </w:tr>
      <w:tr>
        <w:trPr/>
        <w:tc>
          <w:tcPr>
            <w:shd w:val="clear" w:color="auto" w:fill="d5dce4" w:themeFill="text2" w:themeFillTint="33"/>
            <w:tcBorders/>
            <w:tcW w:w="2298"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6360" w:type="dxa"/>
            <w:vAlign w:val="center"/>
            <w:textDirection w:val="lrTb"/>
            <w:noWrap w:val="false"/>
          </w:tcPr>
          <w:p>
            <w:pPr>
              <w:pBdr/>
              <w:tabs>
                <w:tab w:val="num" w:leader="none" w:pos="722"/>
              </w:tabs>
              <w:spacing w:after="60" w:line="240" w:lineRule="auto"/>
              <w:ind w:left="284"/>
              <w:jc w:val="both"/>
              <w:rPr>
                <w:rFonts w:ascii="Arial" w:hAnsi="Arial" w:eastAsia="Calibri" w:cs="Arial"/>
                <w:sz w:val="20"/>
                <w:szCs w:val="20"/>
                <w:lang w:val="en-GB"/>
              </w:rPr>
            </w:pPr>
            <w:r>
              <w:rPr>
                <w:rFonts w:ascii="Arial" w:hAnsi="Arial" w:eastAsia="Calibri" w:cs="Arial"/>
                <w:sz w:val="20"/>
                <w:szCs w:val="20"/>
                <w:lang w:val="en-GB"/>
              </w:rPr>
            </w:r>
            <w:r>
              <w:rPr>
                <w:rFonts w:ascii="Arial" w:hAnsi="Arial" w:eastAsia="Calibri" w:cs="Arial"/>
                <w:sz w:val="20"/>
                <w:szCs w:val="20"/>
                <w:lang w:val="en-GB"/>
              </w:rPr>
            </w:r>
          </w:p>
        </w:tc>
      </w:tr>
    </w:tbl>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7.3. Steering bodies and meetings </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[The types of presentation other than the proposed table can also be used.] </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tbl>
      <w:tblPr>
        <w:tblInd w:w="1327" w:type="dxa"/>
        <w:tblW w:w="10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05"/>
        <w:gridCol w:w="4320"/>
        <w:gridCol w:w="1593"/>
        <w:gridCol w:w="1440"/>
        <w:gridCol w:w="1530"/>
      </w:tblGrid>
      <w:tr>
        <w:trPr>
          <w:trHeight w:val="502"/>
          <w:tblHeader/>
        </w:trPr>
        <w:tc>
          <w:tcPr>
            <w:shd w:val="clear" w:color="auto" w:fill="d5dce4" w:themeFill="text2" w:themeFillTint="33"/>
            <w:tcBorders/>
            <w:tcW w:w="1305" w:type="dxa"/>
            <w:vAlign w:val="center"/>
            <w:textDirection w:val="lrTb"/>
            <w:noWrap w:val="false"/>
          </w:tcPr>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t xml:space="preserve">Steering body</w:t>
            </w:r>
            <w:r>
              <w:rPr>
                <w:rFonts w:ascii="Arial" w:hAnsi="Arial" w:eastAsia="Calibri" w:cs="Arial"/>
                <w:b/>
                <w:bCs/>
                <w:sz w:val="20"/>
                <w:szCs w:val="18"/>
                <w:lang w:val="en-GB" w:eastAsia="nl-NL"/>
              </w:rPr>
            </w:r>
          </w:p>
        </w:tc>
        <w:tc>
          <w:tcPr>
            <w:shd w:val="clear" w:color="auto" w:fill="d5dce4" w:themeFill="text2" w:themeFillTint="33"/>
            <w:tcBorders/>
            <w:tcW w:w="4320" w:type="dxa"/>
            <w:vAlign w:val="center"/>
            <w:textDirection w:val="lrTb"/>
            <w:noWrap w:val="false"/>
          </w:tcPr>
          <w:p>
            <w:pPr>
              <w:pBdr/>
              <w:spacing w:after="120" w:line="240" w:lineRule="auto"/>
              <w:ind w:left="284"/>
              <w:rPr>
                <w:rFonts w:ascii="Arial" w:hAnsi="Arial" w:eastAsia="Calibri" w:cs="Arial"/>
                <w:b/>
                <w:bCs/>
                <w:sz w:val="20"/>
                <w:szCs w:val="18"/>
                <w:lang w:val="en-GB" w:eastAsia="nl-NL"/>
              </w:rPr>
            </w:pPr>
            <w:r>
              <w:rPr>
                <w:rFonts w:ascii="Arial" w:hAnsi="Arial" w:eastAsia="Calibri" w:cs="Arial"/>
                <w:b/>
                <w:bCs/>
                <w:sz w:val="20"/>
                <w:szCs w:val="18"/>
                <w:lang w:val="en-GB" w:eastAsia="nl-NL"/>
              </w:rPr>
              <w:t xml:space="preserve">Competence and responsibility</w:t>
            </w:r>
            <w:r>
              <w:rPr>
                <w:rFonts w:ascii="Arial" w:hAnsi="Arial" w:eastAsia="Calibri" w:cs="Arial"/>
                <w:b/>
                <w:bCs/>
                <w:sz w:val="20"/>
                <w:szCs w:val="18"/>
                <w:lang w:val="en-GB" w:eastAsia="nl-NL"/>
              </w:rPr>
            </w:r>
          </w:p>
        </w:tc>
        <w:tc>
          <w:tcPr>
            <w:shd w:val="clear" w:color="auto" w:fill="d5dce4" w:themeFill="text2" w:themeFillTint="33"/>
            <w:tcBorders/>
            <w:tcW w:w="1593" w:type="dxa"/>
            <w:vAlign w:val="center"/>
            <w:textDirection w:val="lrTb"/>
            <w:noWrap w:val="false"/>
          </w:tcPr>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t xml:space="preserve">Meeting frequency</w:t>
            </w:r>
            <w:r>
              <w:rPr>
                <w:rFonts w:ascii="Arial" w:hAnsi="Arial" w:eastAsia="Calibri" w:cs="Arial"/>
                <w:b/>
                <w:bCs/>
                <w:sz w:val="20"/>
                <w:szCs w:val="18"/>
                <w:lang w:val="en-GB" w:eastAsia="nl-NL"/>
              </w:rPr>
            </w:r>
          </w:p>
        </w:tc>
        <w:tc>
          <w:tcPr>
            <w:shd w:val="clear" w:color="auto" w:fill="d5dce4" w:themeFill="text2" w:themeFillTint="33"/>
            <w:tcBorders/>
            <w:tcW w:w="1440" w:type="dxa"/>
            <w:vAlign w:val="center"/>
            <w:textDirection w:val="lrTb"/>
            <w:noWrap w:val="false"/>
          </w:tcPr>
          <w:p>
            <w:pPr>
              <w:pBdr/>
              <w:spacing w:after="0" w:line="240" w:lineRule="auto"/>
              <w:ind w:left="284"/>
              <w:jc w:val="center"/>
              <w:rPr>
                <w:rFonts w:ascii="Arial" w:hAnsi="Arial" w:eastAsia="Times New Roman" w:cs="Arial"/>
                <w:sz w:val="20"/>
                <w:szCs w:val="20"/>
                <w:lang w:val="en-GB"/>
              </w:rPr>
            </w:pPr>
            <w:r>
              <w:rPr>
                <w:rFonts w:ascii="Arial" w:hAnsi="Arial" w:eastAsia="Times New Roman" w:cs="Arial"/>
                <w:b/>
                <w:bCs/>
                <w:sz w:val="20"/>
                <w:szCs w:val="18"/>
                <w:lang w:val="en-GB"/>
              </w:rPr>
              <w:t xml:space="preserve">Client’s participants</w:t>
            </w:r>
            <w:r>
              <w:rPr>
                <w:rFonts w:ascii="Arial" w:hAnsi="Arial" w:eastAsia="Times New Roman" w:cs="Arial"/>
                <w:sz w:val="20"/>
                <w:szCs w:val="20"/>
                <w:lang w:val="en-GB"/>
              </w:rPr>
            </w:r>
          </w:p>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r>
            <w:r>
              <w:rPr>
                <w:rFonts w:ascii="Arial" w:hAnsi="Arial" w:eastAsia="Calibri" w:cs="Arial"/>
                <w:b/>
                <w:bCs/>
                <w:sz w:val="20"/>
                <w:szCs w:val="18"/>
                <w:lang w:val="en-GB" w:eastAsia="nl-NL"/>
              </w:rPr>
            </w:r>
          </w:p>
        </w:tc>
        <w:tc>
          <w:tcPr>
            <w:shd w:val="clear" w:color="auto" w:fill="d5dce4" w:themeFill="text2" w:themeFillTint="33"/>
            <w:tcBorders/>
            <w:tcW w:w="1530" w:type="dxa"/>
            <w:vAlign w:val="center"/>
            <w:textDirection w:val="lrTb"/>
            <w:noWrap w:val="false"/>
          </w:tcPr>
          <w:p>
            <w:pPr>
              <w:pBdr/>
              <w:spacing w:after="0" w:line="240" w:lineRule="auto"/>
              <w:ind w:left="284"/>
              <w:jc w:val="center"/>
              <w:rPr>
                <w:rFonts w:ascii="Arial" w:hAnsi="Arial" w:eastAsia="Times New Roman" w:cs="Arial"/>
                <w:sz w:val="20"/>
                <w:szCs w:val="20"/>
                <w:lang w:val="en-GB"/>
              </w:rPr>
            </w:pPr>
            <w:r>
              <w:rPr>
                <w:rFonts w:ascii="Arial" w:hAnsi="Arial" w:eastAsia="Times New Roman" w:cs="Arial"/>
                <w:b/>
                <w:bCs/>
                <w:sz w:val="20"/>
                <w:szCs w:val="18"/>
                <w:lang w:val="en-GB"/>
              </w:rPr>
              <w:t xml:space="preserve">Contractor’s participants</w:t>
            </w:r>
            <w:r>
              <w:rPr>
                <w:rFonts w:ascii="Arial" w:hAnsi="Arial" w:eastAsia="Times New Roman" w:cs="Arial"/>
                <w:sz w:val="20"/>
                <w:szCs w:val="20"/>
                <w:lang w:val="en-GB"/>
              </w:rPr>
            </w:r>
          </w:p>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r>
            <w:r>
              <w:rPr>
                <w:rFonts w:ascii="Arial" w:hAnsi="Arial" w:eastAsia="Calibri" w:cs="Arial"/>
                <w:b/>
                <w:bCs/>
                <w:sz w:val="20"/>
                <w:szCs w:val="18"/>
                <w:lang w:val="en-GB" w:eastAsia="nl-NL"/>
              </w:rPr>
            </w:r>
          </w:p>
        </w:tc>
      </w:tr>
      <w:tr>
        <w:trPr/>
        <w:tc>
          <w:tcPr>
            <w:shd w:val="clear" w:color="auto" w:fill="d5dce4" w:themeFill="text2" w:themeFillTint="33"/>
            <w:tcBorders/>
            <w:tcW w:w="1305" w:type="dxa"/>
            <w:vAlign w:val="center"/>
            <w:textDirection w:val="lrTb"/>
            <w:noWrap w:val="false"/>
          </w:tcPr>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r>
            <w:r>
              <w:rPr>
                <w:rFonts w:ascii="Arial" w:hAnsi="Arial" w:eastAsia="Calibri" w:cs="Arial"/>
                <w:b/>
                <w:bCs/>
                <w:sz w:val="20"/>
                <w:szCs w:val="18"/>
                <w:lang w:val="en-GB" w:eastAsia="nl-NL"/>
              </w:rPr>
            </w:r>
          </w:p>
        </w:tc>
        <w:tc>
          <w:tcPr>
            <w:tcBorders/>
            <w:tcW w:w="4320" w:type="dxa"/>
            <w:vAlign w:val="center"/>
            <w:textDirection w:val="lrTb"/>
            <w:noWrap w:val="false"/>
          </w:tcPr>
          <w:p>
            <w:pPr>
              <w:pBdr/>
              <w:tabs>
                <w:tab w:val="num" w:leader="none" w:pos="722"/>
              </w:tabs>
              <w:spacing w:after="60" w:line="240" w:lineRule="auto"/>
              <w:ind w:left="284"/>
              <w:rPr>
                <w:rFonts w:ascii="Arial" w:hAnsi="Arial" w:eastAsia="Calibri" w:cs="Arial"/>
                <w:sz w:val="20"/>
                <w:szCs w:val="20"/>
                <w:lang w:val="en-GB" w:eastAsia="nl-NL"/>
              </w:rPr>
            </w:pPr>
            <w:r>
              <w:rPr>
                <w:rFonts w:ascii="Arial" w:hAnsi="Arial" w:eastAsia="Calibri" w:cs="Arial"/>
                <w:sz w:val="20"/>
                <w:szCs w:val="20"/>
                <w:lang w:val="en-GB" w:eastAsia="nl-NL"/>
              </w:rPr>
            </w:r>
            <w:r>
              <w:rPr>
                <w:rFonts w:ascii="Arial" w:hAnsi="Arial" w:eastAsia="Calibri" w:cs="Arial"/>
                <w:sz w:val="20"/>
                <w:szCs w:val="20"/>
                <w:lang w:val="en-GB" w:eastAsia="nl-NL"/>
              </w:rPr>
            </w:r>
          </w:p>
        </w:tc>
        <w:tc>
          <w:tcPr>
            <w:tcBorders/>
            <w:tcW w:w="1593" w:type="dxa"/>
            <w:vAlign w:val="center"/>
            <w:textDirection w:val="lrTb"/>
            <w:noWrap w:val="false"/>
          </w:tcPr>
          <w:p>
            <w:pPr>
              <w:pBdr/>
              <w:spacing w:after="120" w:line="240" w:lineRule="auto"/>
              <w:ind w:left="284"/>
              <w:rPr>
                <w:rFonts w:ascii="Arial" w:hAnsi="Arial" w:eastAsia="Calibri" w:cs="Arial"/>
                <w:sz w:val="20"/>
                <w:szCs w:val="20"/>
                <w:lang w:val="en-GB" w:eastAsia="nl-NL"/>
              </w:rPr>
            </w:pPr>
            <w:r>
              <w:rPr>
                <w:rFonts w:ascii="Arial" w:hAnsi="Arial" w:eastAsia="Calibri" w:cs="Arial"/>
                <w:sz w:val="20"/>
                <w:szCs w:val="20"/>
                <w:lang w:val="en-GB" w:eastAsia="nl-NL"/>
              </w:rPr>
            </w:r>
            <w:r>
              <w:rPr>
                <w:rFonts w:ascii="Arial" w:hAnsi="Arial" w:eastAsia="Calibri" w:cs="Arial"/>
                <w:sz w:val="20"/>
                <w:szCs w:val="20"/>
                <w:lang w:val="en-GB" w:eastAsia="nl-NL"/>
              </w:rPr>
            </w:r>
          </w:p>
        </w:tc>
        <w:tc>
          <w:tcPr>
            <w:tcBorders/>
            <w:tcW w:w="1440"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1530"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r>
      <w:tr>
        <w:trPr/>
        <w:tc>
          <w:tcPr>
            <w:shd w:val="clear" w:color="auto" w:fill="d5dce4" w:themeFill="text2" w:themeFillTint="33"/>
            <w:tcBorders/>
            <w:tcW w:w="1305" w:type="dxa"/>
            <w:vAlign w:val="center"/>
            <w:textDirection w:val="lrTb"/>
            <w:noWrap w:val="false"/>
          </w:tcPr>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r>
            <w:r>
              <w:rPr>
                <w:rFonts w:ascii="Arial" w:hAnsi="Arial" w:eastAsia="Calibri" w:cs="Arial"/>
                <w:b/>
                <w:bCs/>
                <w:sz w:val="20"/>
                <w:szCs w:val="18"/>
                <w:lang w:val="en-GB" w:eastAsia="nl-NL"/>
              </w:rPr>
            </w:r>
          </w:p>
        </w:tc>
        <w:tc>
          <w:tcPr>
            <w:tcBorders/>
            <w:tcW w:w="4320" w:type="dxa"/>
            <w:vAlign w:val="center"/>
            <w:textDirection w:val="lrTb"/>
            <w:noWrap w:val="false"/>
          </w:tcPr>
          <w:p>
            <w:pPr>
              <w:pBdr/>
              <w:tabs>
                <w:tab w:val="num" w:leader="none" w:pos="722"/>
              </w:tabs>
              <w:spacing w:after="60" w:line="240" w:lineRule="auto"/>
              <w:ind w:left="284"/>
              <w:jc w:val="both"/>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1593"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1440"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1530"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r>
      <w:tr>
        <w:trPr/>
        <w:tc>
          <w:tcPr>
            <w:shd w:val="clear" w:color="auto" w:fill="d5dce4" w:themeFill="text2" w:themeFillTint="33"/>
            <w:tcBorders/>
            <w:tcW w:w="1305" w:type="dxa"/>
            <w:vAlign w:val="center"/>
            <w:textDirection w:val="lrTb"/>
            <w:noWrap w:val="false"/>
          </w:tcPr>
          <w:p>
            <w:pPr>
              <w:pBdr/>
              <w:spacing w:after="120" w:line="240" w:lineRule="auto"/>
              <w:ind w:left="284"/>
              <w:jc w:val="center"/>
              <w:rPr>
                <w:rFonts w:ascii="Arial" w:hAnsi="Arial" w:eastAsia="Calibri" w:cs="Arial"/>
                <w:b/>
                <w:bCs/>
                <w:sz w:val="20"/>
                <w:szCs w:val="18"/>
                <w:lang w:val="en-GB" w:eastAsia="nl-NL"/>
              </w:rPr>
            </w:pPr>
            <w:r>
              <w:rPr>
                <w:rFonts w:ascii="Arial" w:hAnsi="Arial" w:eastAsia="Calibri" w:cs="Arial"/>
                <w:b/>
                <w:bCs/>
                <w:sz w:val="20"/>
                <w:szCs w:val="18"/>
                <w:lang w:val="en-GB" w:eastAsia="nl-NL"/>
              </w:rPr>
            </w:r>
            <w:r>
              <w:rPr>
                <w:rFonts w:ascii="Arial" w:hAnsi="Arial" w:eastAsia="Calibri" w:cs="Arial"/>
                <w:b/>
                <w:bCs/>
                <w:sz w:val="20"/>
                <w:szCs w:val="18"/>
                <w:lang w:val="en-GB" w:eastAsia="nl-NL"/>
              </w:rPr>
            </w:r>
          </w:p>
        </w:tc>
        <w:tc>
          <w:tcPr>
            <w:tcBorders/>
            <w:tcW w:w="4320" w:type="dxa"/>
            <w:vAlign w:val="center"/>
            <w:textDirection w:val="lrTb"/>
            <w:noWrap w:val="false"/>
          </w:tcPr>
          <w:p>
            <w:pPr>
              <w:pBdr/>
              <w:tabs>
                <w:tab w:val="num" w:leader="none" w:pos="722"/>
              </w:tabs>
              <w:spacing w:after="60" w:line="240" w:lineRule="auto"/>
              <w:ind w:left="284"/>
              <w:jc w:val="both"/>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1593"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1440"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c>
          <w:tcPr>
            <w:tcBorders/>
            <w:tcW w:w="1530" w:type="dxa"/>
            <w:vAlign w:val="center"/>
            <w:textDirection w:val="lrTb"/>
            <w:noWrap w:val="false"/>
          </w:tcPr>
          <w:p>
            <w:pPr>
              <w:pBdr/>
              <w:spacing w:after="120" w:line="240" w:lineRule="auto"/>
              <w:ind w:left="284"/>
              <w:jc w:val="center"/>
              <w:rPr>
                <w:rFonts w:ascii="Arial" w:hAnsi="Arial" w:eastAsia="Calibri" w:cs="Arial"/>
                <w:sz w:val="20"/>
                <w:szCs w:val="18"/>
                <w:lang w:val="en-GB" w:eastAsia="nl-NL"/>
              </w:rPr>
            </w:pPr>
            <w:r>
              <w:rPr>
                <w:rFonts w:ascii="Arial" w:hAnsi="Arial" w:eastAsia="Calibri" w:cs="Arial"/>
                <w:sz w:val="20"/>
                <w:szCs w:val="18"/>
                <w:lang w:val="en-GB" w:eastAsia="nl-NL"/>
              </w:rPr>
            </w:r>
            <w:r>
              <w:rPr>
                <w:rFonts w:ascii="Arial" w:hAnsi="Arial" w:eastAsia="Calibri" w:cs="Arial"/>
                <w:sz w:val="20"/>
                <w:szCs w:val="18"/>
                <w:lang w:val="en-GB" w:eastAsia="nl-NL"/>
              </w:rPr>
            </w:r>
          </w:p>
        </w:tc>
      </w:tr>
    </w:tbl>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[Other components that describe the organisation can be added below.]</w:t>
      </w:r>
      <w:r>
        <w:rPr>
          <w:rFonts w:ascii="Arial" w:hAnsi="Arial" w:eastAsia="Times New Roman" w:cs="Arial"/>
          <w:bCs/>
          <w:i/>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contextualSpacing w:val="true"/>
        <w:jc w:val="both"/>
        <w:rPr>
          <w:rFonts w:ascii="Arial" w:hAnsi="Arial" w:eastAsia="Times New Roman" w:cs="Arial"/>
          <w:b/>
          <w:bCs/>
          <w:i/>
          <w:sz w:val="20"/>
          <w:szCs w:val="20"/>
          <w:lang w:val="en-GB"/>
        </w:rPr>
      </w:pPr>
      <w:r>
        <w:rPr>
          <w:rFonts w:ascii="Arial" w:hAnsi="Arial" w:eastAsia="Times New Roman" w:cs="Arial"/>
          <w:b/>
          <w:bCs/>
          <w:i/>
          <w:sz w:val="20"/>
          <w:szCs w:val="20"/>
          <w:lang w:val="en-GB"/>
        </w:rPr>
        <w:t xml:space="preserve">7.X. _____________________________</w:t>
      </w:r>
      <w:r>
        <w:rPr>
          <w:rFonts w:ascii="Arial" w:hAnsi="Arial" w:eastAsia="Times New Roman" w:cs="Arial"/>
          <w:b/>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8. CHANGE MANAGEMENT</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27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obligations, rights, rules, procedures and controls related to the Change Management in the Contract relating to the delivery of IT services or projects / consulting services]</w:t>
      </w:r>
      <w:r>
        <w:rPr>
          <w:rFonts w:ascii="Arial" w:hAnsi="Arial" w:eastAsia="Times New Roman" w:cs="Arial"/>
          <w:bCs/>
          <w:i/>
          <w:sz w:val="20"/>
          <w:szCs w:val="20"/>
          <w:lang w:val="en-GB"/>
        </w:rPr>
      </w:r>
    </w:p>
    <w:p>
      <w:pPr>
        <w:pBdr/>
        <w:spacing w:after="0" w:line="240" w:lineRule="auto"/>
        <w:ind w:right="27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270" w:left="284"/>
        <w:rPr>
          <w:rFonts w:ascii="Arial" w:hAnsi="Arial" w:eastAsia="Times New Roman" w:cs="Arial"/>
          <w:bCs/>
          <w:sz w:val="20"/>
          <w:szCs w:val="20"/>
          <w:lang w:val="en-GB"/>
        </w:rPr>
      </w:pPr>
      <w:r>
        <w:rPr>
          <w:rFonts w:ascii="Arial" w:hAnsi="Arial" w:eastAsia="Times New Roman" w:cs="Arial"/>
          <w:bCs/>
          <w:sz w:val="20"/>
          <w:szCs w:val="20"/>
          <w:lang w:val="en-GB"/>
        </w:rPr>
        <w:t xml:space="preserve">During the Contract period for the provision of the relevant Services, there will be changes in the circumstances that may cause: changes in the contractual provisions defined in this contract a</w:t>
      </w:r>
      <w:r>
        <w:rPr>
          <w:rFonts w:ascii="Arial" w:hAnsi="Arial" w:eastAsia="Times New Roman" w:cs="Arial"/>
          <w:bCs/>
          <w:sz w:val="20"/>
          <w:szCs w:val="20"/>
          <w:lang w:val="en-GB"/>
        </w:rPr>
        <w:t xml:space="preserve">nd all its appendices, changes in the procedures and rules adopted, authorized staff and scope and content of the services provided, etc. Regardless of the cause of the change, the change can only be implemented by applying the Change Management Procedure.</w:t>
      </w:r>
      <w:r>
        <w:rPr>
          <w:rFonts w:ascii="Arial" w:hAnsi="Arial" w:eastAsia="Times New Roman" w:cs="Arial"/>
          <w:bCs/>
          <w:sz w:val="20"/>
          <w:szCs w:val="20"/>
          <w:lang w:val="en-GB"/>
        </w:rPr>
      </w:r>
    </w:p>
    <w:p>
      <w:pPr>
        <w:pBdr/>
        <w:spacing w:after="0" w:line="240" w:lineRule="auto"/>
        <w:ind w:right="-143"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ab/>
      </w:r>
      <w:r>
        <w:rPr>
          <w:rFonts w:ascii="Arial" w:hAnsi="Arial" w:eastAsia="Times New Roman" w:cs="Arial"/>
          <w:bCs/>
          <w:sz w:val="20"/>
          <w:szCs w:val="20"/>
          <w:lang w:val="en-GB"/>
        </w:rPr>
      </w:r>
    </w:p>
    <w:p>
      <w:pPr>
        <w:pBdr/>
        <w:spacing w:after="0" w:line="240" w:lineRule="auto"/>
        <w:ind w:right="-143" w:left="284"/>
        <w:contextualSpacing w:val="true"/>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8.1. Change management procedure</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Contractor and the Client shall agree and apply a detailed Change Request Management Procedure no later than __________. The procedure for managing change requests shall be approved by ___________________. This procedure will cover:</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tab/>
      </w:r>
      <w:r>
        <w:rPr>
          <w:rFonts w:ascii="Arial" w:hAnsi="Arial" w:eastAsia="Times New Roman" w:cs="Arial"/>
          <w:bCs/>
          <w:sz w:val="20"/>
          <w:szCs w:val="20"/>
          <w:lang w:val="en-GB"/>
        </w:rPr>
        <w:t xml:space="preserve">Method of sending Change Requests and their content </w:t>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A sequence of steps that must be taken in order to implement the Change Request as well as the expected response in case of open issues and unplanned events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Roles and responsibilities </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Time frame for individual activities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Interface for other control procedures and especially for escalation procedures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Emergency response procedure </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contextualSpacing w:val="true"/>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8.2. Human resources change management procedure</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In accordance with the Contract, a change in the Contractor’s human resources engaged for the provision of services c</w:t>
      </w:r>
      <w:r>
        <w:rPr>
          <w:rFonts w:ascii="Arial" w:hAnsi="Arial" w:eastAsia="Times New Roman" w:cs="Arial"/>
          <w:bCs/>
          <w:sz w:val="20"/>
          <w:szCs w:val="20"/>
          <w:lang w:val="en-GB"/>
        </w:rPr>
        <w:t xml:space="preserve">an be initiated by the responsible person of the Contractor or responsible person of the Client. If there is a need to change a person engaged by the Contractor or the number of the Contractor’s employees, the Contractor must propose an adequate replacemen</w:t>
      </w:r>
      <w:r>
        <w:rPr>
          <w:rFonts w:ascii="Arial" w:hAnsi="Arial" w:eastAsia="Times New Roman" w:cs="Arial"/>
          <w:bCs/>
          <w:sz w:val="20"/>
          <w:szCs w:val="20"/>
          <w:lang w:val="en-GB"/>
        </w:rPr>
        <w:t xml:space="preserve">t and / or provide additional personnel of the same or higher qualifications as defined in the qualification requirements for the members of the project team in the supplier selection procedure. The Contractor should inform the Responsible Person of the Cl</w:t>
      </w:r>
      <w:r>
        <w:rPr>
          <w:rFonts w:ascii="Arial" w:hAnsi="Arial" w:eastAsia="Times New Roman" w:cs="Arial"/>
          <w:bCs/>
          <w:sz w:val="20"/>
          <w:szCs w:val="20"/>
          <w:lang w:val="en-GB"/>
        </w:rPr>
        <w:t xml:space="preserve">ient thereof by e-mail or an official letter. The Contractor is obliged to submit requested information in the form and volumes specified in the technical assignment, which defines the number and qualifications of human resources, or provide it in the bid.</w:t>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tabs>
          <w:tab w:val="left" w:leader="none" w:pos="15300"/>
        </w:tabs>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If the person proposed by the</w:t>
      </w:r>
      <w:r>
        <w:rPr>
          <w:rFonts w:ascii="Arial" w:hAnsi="Arial" w:eastAsia="Times New Roman" w:cs="Arial"/>
          <w:bCs/>
          <w:sz w:val="20"/>
          <w:szCs w:val="20"/>
          <w:lang w:val="en-GB"/>
        </w:rPr>
        <w:t xml:space="preserve"> Contractor does not have the required qualifications and expertise, the Responsible Person of the Client reserves the right not to accept the proposed person, informs the Contractor and the Contractor is obliged to re-send the request with a new proposal.</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responsible person of the Client, in accordance with the internal procedures of the Client, shall implement the procedure for approving the new person of the Contractor. </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[The other Procedure components can be added below.]</w:t>
      </w:r>
      <w:r>
        <w:rPr>
          <w:rFonts w:ascii="Arial" w:hAnsi="Arial" w:eastAsia="Times New Roman" w:cs="Arial"/>
          <w:bCs/>
          <w:i/>
          <w:sz w:val="20"/>
          <w:szCs w:val="20"/>
          <w:lang w:val="en-GB"/>
        </w:rPr>
      </w:r>
    </w:p>
    <w:p>
      <w:pPr>
        <w:pBdr/>
        <w:spacing w:after="0" w:line="240" w:lineRule="auto"/>
        <w:ind w:right="-143" w:left="284"/>
        <w:contextualSpacing w:val="true"/>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8.X. Change management procedure _____________</w:t>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9. ESCALATION MANAGEMENT</w:t>
      </w:r>
      <w:r>
        <w:rPr>
          <w:rFonts w:ascii="Arial" w:hAnsi="Arial" w:eastAsia="Times New Roman" w:cs="Arial"/>
          <w:b/>
          <w:bCs/>
          <w:sz w:val="20"/>
          <w:szCs w:val="20"/>
          <w:lang w:val="en-GB"/>
        </w:rPr>
      </w:r>
    </w:p>
    <w:p>
      <w:pPr>
        <w:pBdr/>
        <w:spacing w:after="0" w:line="240" w:lineRule="auto"/>
        <w:ind w:right="63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obligations, rights, rules, procedures and controls related to the Change Management in the Contract relating to the delivery of IT services or projects / consulting services </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90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escalation management procedure ensures sufficient level of attention of the respo</w:t>
      </w:r>
      <w:r>
        <w:rPr>
          <w:rFonts w:ascii="Arial" w:hAnsi="Arial" w:eastAsia="Times New Roman" w:cs="Arial"/>
          <w:bCs/>
          <w:sz w:val="20"/>
          <w:szCs w:val="20"/>
          <w:lang w:val="en-GB"/>
        </w:rPr>
        <w:t xml:space="preserve">nsible persons of the Client and responsible persons of the Contractor in order to provide the resources necessary for solving open issues and problems that may have a significant impact on the undisturbed implementation of the Client's business processes.</w:t>
      </w:r>
      <w:r>
        <w:rPr>
          <w:rFonts w:ascii="Arial" w:hAnsi="Arial" w:eastAsia="Times New Roman" w:cs="Arial"/>
          <w:bCs/>
          <w:sz w:val="20"/>
          <w:szCs w:val="20"/>
          <w:lang w:val="en-GB"/>
        </w:rPr>
      </w:r>
    </w:p>
    <w:p>
      <w:pPr>
        <w:pBdr/>
        <w:spacing w:after="0" w:line="240" w:lineRule="auto"/>
        <w:ind w:right="900"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Client and the Contractor will agree the Escalation Procedure by __________. The procedure will be approved by the responsible persons of the Contractor and the responsible persons of the Client. ___________________.</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escalation procedure will define:</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A method of informing authorised persons in the Client and Contractor’s hierarchy in case of a threat or serious service violation;</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A procedure that ensures an adequate level of escalation depending on the time elapsed from the moment of reporting the problem, its status and priorities;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A procedure that ensures a structured and efficient mode of operation that provides an efficient recovery of services;</w:t>
      </w:r>
      <w:r>
        <w:rPr>
          <w:rFonts w:ascii="Arial" w:hAnsi="Arial" w:eastAsia="Times New Roman" w:cs="Arial"/>
          <w:bCs/>
          <w:sz w:val="20"/>
          <w:szCs w:val="20"/>
          <w:lang w:val="en-GB"/>
        </w:rPr>
      </w:r>
    </w:p>
    <w:p>
      <w:pPr>
        <w:pBdr/>
        <w:spacing w:after="0" w:line="240" w:lineRule="auto"/>
        <w:ind w:right="36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A process of involving a team of experts who should re-establish the level of services or provide temporary operation of the services in the given circumstances, achievable level of services;</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A method of cooperation of persons to whom the problem is escalated; </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Deadlines and criteria for escalation to a higher level; </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sz w:val="20"/>
          <w:szCs w:val="20"/>
          <w:lang w:val="en-GB"/>
        </w:rPr>
        <w:tab/>
        <w:t xml:space="preserve">….. </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10. SERVICE ACCEPTANCE PROCEDURE</w:t>
      </w:r>
      <w:r>
        <w:rPr>
          <w:rFonts w:ascii="Arial" w:hAnsi="Arial" w:eastAsia="Times New Roman" w:cs="Arial"/>
          <w:b/>
          <w:bCs/>
          <w:sz w:val="20"/>
          <w:szCs w:val="20"/>
          <w:lang w:val="en-GB"/>
        </w:rPr>
      </w:r>
    </w:p>
    <w:p>
      <w:pPr>
        <w:pBdr/>
        <w:spacing w:after="0" w:line="240" w:lineRule="auto"/>
        <w:ind w:right="27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[Define the ser</w:t>
      </w:r>
      <w:r>
        <w:rPr>
          <w:rFonts w:ascii="Arial" w:hAnsi="Arial" w:eastAsia="Times New Roman" w:cs="Arial"/>
          <w:bCs/>
          <w:i/>
          <w:sz w:val="20"/>
          <w:szCs w:val="20"/>
          <w:lang w:val="en-GB"/>
        </w:rPr>
        <w:t xml:space="preserve">vice acceptance procedure. Define the acceptance period, tests, approval criteria, formal service acceptance records, etc. The procedure may be linked to the SLA or the design / consulting services. Elaborate in detail a procedure for each project phase.] </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11. SERVICE LEVEL</w:t>
      </w:r>
      <w:r>
        <w:rPr>
          <w:rFonts w:ascii="Arial" w:hAnsi="Arial" w:eastAsia="Times New Roman" w:cs="Arial"/>
          <w:b/>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level and quality measurement of the delivered services must be at a level that is in line with the quality requirements, standards and procedures of the Client.</w:t>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i/>
          <w:sz w:val="20"/>
          <w:szCs w:val="20"/>
          <w:lang w:val="en-GB"/>
        </w:rPr>
        <w:t xml:space="preserve">Depending on the type of IT service, modify or elaborate this section of the Appendix to Article 12</w:t>
      </w:r>
      <w:r>
        <w:rPr>
          <w:rFonts w:ascii="Arial" w:hAnsi="Arial" w:eastAsia="Times New Roman" w:cs="Arial"/>
          <w:bCs/>
          <w:sz w:val="20"/>
          <w:szCs w:val="20"/>
          <w:lang w:val="en-GB"/>
        </w:rPr>
        <w:t xml:space="preserve">]</w:t>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IT service delivery is monitored through an ITSM tool that will be a source for regular periodic reporting on the scope and quality of services as well as the fulfilment of the defined SLA.</w:t>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i/>
          <w:sz w:val="20"/>
          <w:szCs w:val="20"/>
          <w:lang w:val="en-GB"/>
        </w:rPr>
      </w:pPr>
      <w:r>
        <w:rPr>
          <w:rFonts w:ascii="Arial" w:hAnsi="Arial" w:eastAsia="Times New Roman" w:cs="Arial"/>
          <w:bCs/>
          <w:sz w:val="20"/>
          <w:szCs w:val="20"/>
          <w:lang w:val="en-GB"/>
        </w:rPr>
        <w:t xml:space="preserve">&lt;</w:t>
      </w:r>
      <w:r>
        <w:rPr>
          <w:rFonts w:ascii="Arial" w:hAnsi="Arial" w:eastAsia="Times New Roman" w:cs="Arial"/>
          <w:bCs/>
          <w:i/>
          <w:sz w:val="20"/>
          <w:szCs w:val="20"/>
          <w:lang w:val="en-GB"/>
        </w:rPr>
        <w:t xml:space="preserve">Specify the necessary operating system parameters that must be measured in order to obtain information regarding the performance and availability of the system in accordance with the requirements of the Client’s business users.</w:t>
      </w:r>
      <w:r>
        <w:rPr>
          <w:rFonts w:ascii="Arial" w:hAnsi="Arial" w:eastAsia="Times New Roman" w:cs="Arial"/>
          <w:bCs/>
          <w:i/>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For each reported incident, the Client defines the level of severity as well as</w:t>
      </w:r>
      <w:r>
        <w:rPr>
          <w:rFonts w:ascii="Arial" w:hAnsi="Arial" w:eastAsia="Times New Roman" w:cs="Arial"/>
          <w:bCs/>
          <w:sz w:val="20"/>
          <w:szCs w:val="20"/>
          <w:lang w:val="en-GB"/>
        </w:rPr>
        <w:t xml:space="preserve"> the priority of the resolution if incidents occur at the same time. The service provider is obliged to keep records of the requested and rendered services in the Client’s Service Desk and to regularly report on the services provided under the defined SLA.</w:t>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11.1. Key performance indicators (KPI)</w:t>
      </w:r>
      <w:r>
        <w:rPr>
          <w:rFonts w:ascii="Arial" w:hAnsi="Arial" w:eastAsia="Times New Roman" w:cs="Arial"/>
          <w:b/>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Contractor agrees that the key performance indicators for the services and services support are as follows:</w:t>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tbl>
      <w:tblPr>
        <w:tblInd w:w="720" w:type="dxa"/>
        <w:tblW w:w="9923"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600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after="20" w:before="2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KPI</w:t>
            </w:r>
            <w:r>
              <w:rPr>
                <w:rFonts w:ascii="Arial" w:hAnsi="Arial" w:eastAsia="Times New Roman" w:cs="Arial"/>
                <w:bCs/>
                <w:sz w:val="20"/>
                <w:szCs w:val="20"/>
                <w:lang w:val="en-GB"/>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6001" w:type="dxa"/>
            <w:textDirection w:val="lrTb"/>
            <w:noWrap w:val="false"/>
          </w:tcPr>
          <w:p>
            <w:pPr>
              <w:pBdr/>
              <w:spacing w:after="20" w:before="2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KPI description</w:t>
            </w:r>
            <w:r>
              <w:rPr>
                <w:rFonts w:ascii="Arial" w:hAnsi="Arial" w:eastAsia="Times New Roman" w:cs="Arial"/>
                <w:bCs/>
                <w:sz w:val="20"/>
                <w:szCs w:val="20"/>
                <w:lang w:val="en-GB"/>
              </w:rPr>
            </w:r>
          </w:p>
        </w:tc>
      </w:tr>
      <w:tr>
        <w:trPr>
          <w:trHeight w:val="909"/>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Final Realisation Time  (FRT)</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Total time elapsed (in the service delivery period), from the Contractor’s response to the incident until the final realisation.</w:t>
            </w:r>
            <w:r>
              <w:rPr>
                <w:rFonts w:ascii="Arial" w:hAnsi="Arial" w:eastAsia="Times New Roman" w:cs="Arial"/>
                <w:bCs/>
                <w:i/>
                <w:sz w:val="20"/>
                <w:szCs w:val="20"/>
                <w:lang w:val="en-GB"/>
              </w:rPr>
            </w:r>
          </w:p>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r>
      <w:tr>
        <w:trPr>
          <w:trHeight w:val="897"/>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Availability (А)</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The availability will be counted within the agreed service delivery period. The tasks that require </w:t>
            </w:r>
            <w:r>
              <w:rPr>
                <w:rFonts w:ascii="Arial" w:hAnsi="Arial" w:eastAsia="Times New Roman" w:cs="Arial"/>
                <w:bCs/>
                <w:i/>
                <w:sz w:val="20"/>
                <w:szCs w:val="20"/>
                <w:lang w:val="en-GB"/>
              </w:rPr>
              <w:t xml:space="preserve">scheduled maintenance with the IT system down-time will be performed outside the working hours with the approval of the Client. The availability will be counted within the agreed service delivery period and will not include the scheduled down-time periods.</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Response Time (RT)</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Time elapsed from the moment of creating the ticket to the moment of taking over the ticket by the Contractor and the beginning of the implementation.</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Workaround time (WТ)</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Time elapsed from the moment of accepting the incident to the moment of temporary problem resolution.</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Business analysis (BA)</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Total time needed for the analysis of business requests, creation of technical specification and Contractor’s proposal for the implementation deadline. The final deadline shall be defined with the mutual approval of the Client and the Contractor.</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Report time (R)</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Time needed to create documentation, technical and user documentation after software changes and implementation of new requirements.</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Timely project implementation (T)</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 realisation of agreed milestone deadlines</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Project scope implementation (S)</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 realisation of agreed deliverables and tasks by milestones.</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12" w:space="0"/>
              <w:right w:val="none" w:color="000000" w:sz="4" w:space="0"/>
            </w:tcBorders>
            <w:tcW w:w="3922" w:type="dxa"/>
            <w:vAlign w:val="center"/>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Project budget (B)</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12" w:space="0"/>
              <w:right w:val="single" w:color="000000" w:sz="12" w:space="0"/>
            </w:tcBorders>
            <w:tcW w:w="6001" w:type="dxa"/>
            <w:vAlign w:val="center"/>
            <w:textDirection w:val="lrTb"/>
            <w:noWrap w:val="false"/>
          </w:tcPr>
          <w:p>
            <w:pPr>
              <w:pBdr/>
              <w:spacing w:after="20" w:before="2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 realisation of agreed budget costs</w:t>
            </w:r>
            <w:r>
              <w:rPr>
                <w:rFonts w:ascii="Arial" w:hAnsi="Arial" w:eastAsia="Times New Roman" w:cs="Arial"/>
                <w:bCs/>
                <w:i/>
                <w:sz w:val="20"/>
                <w:szCs w:val="20"/>
                <w:lang w:val="en-GB"/>
              </w:rPr>
            </w:r>
          </w:p>
        </w:tc>
      </w:tr>
    </w:tbl>
    <w:p>
      <w:pPr>
        <w:pBdr/>
        <w:spacing w:after="0" w:line="240" w:lineRule="auto"/>
        <w:ind w:left="284"/>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&lt;Define the service categories, for example, the types of incidents and all foreseen request categories.&gt;</w:t>
      </w:r>
      <w:r>
        <w:rPr>
          <w:rFonts w:ascii="Arial" w:hAnsi="Arial" w:eastAsia="Times New Roman" w:cs="Arial"/>
          <w:bCs/>
          <w:i/>
          <w:sz w:val="20"/>
          <w:szCs w:val="20"/>
          <w:lang w:val="en-GB"/>
        </w:rPr>
      </w:r>
    </w:p>
    <w:p>
      <w:pPr>
        <w:pBdr/>
        <w:spacing w:after="0" w:line="240" w:lineRule="auto"/>
        <w:ind w:left="284"/>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tbl>
      <w:tblPr>
        <w:tblInd w:w="720" w:type="dxa"/>
        <w:tblW w:w="9923"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600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after="0" w:line="240" w:lineRule="auto"/>
              <w:ind w:left="284"/>
              <w:rPr>
                <w:rFonts w:ascii="Arial" w:hAnsi="Arial" w:eastAsia="Times New Roman" w:cs="Arial"/>
                <w:bCs/>
                <w:sz w:val="20"/>
                <w:szCs w:val="20"/>
                <w:lang w:val="en-GB"/>
              </w:rPr>
            </w:pPr>
            <w:r>
              <w:rPr>
                <w:rFonts w:ascii="Arial" w:hAnsi="Arial" w:eastAsia="Times New Roman" w:cs="Arial"/>
                <w:bCs/>
                <w:sz w:val="20"/>
                <w:szCs w:val="20"/>
                <w:lang w:val="en-GB"/>
              </w:rPr>
              <w:t xml:space="preserve">Severity level</w:t>
            </w:r>
            <w:r>
              <w:rPr>
                <w:rFonts w:ascii="Arial" w:hAnsi="Arial" w:eastAsia="Times New Roman" w:cs="Arial"/>
                <w:bCs/>
                <w:sz w:val="20"/>
                <w:szCs w:val="20"/>
                <w:lang w:val="en-GB"/>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6001" w:type="dxa"/>
            <w:textDirection w:val="lrTb"/>
            <w:noWrap w:val="false"/>
          </w:tcPr>
          <w:p>
            <w:pPr>
              <w:pBdr/>
              <w:spacing w:after="0" w:line="240" w:lineRule="auto"/>
              <w:ind w:left="284"/>
              <w:rPr>
                <w:rFonts w:ascii="Arial" w:hAnsi="Arial" w:eastAsia="Times New Roman" w:cs="Arial"/>
                <w:bCs/>
                <w:sz w:val="20"/>
                <w:szCs w:val="20"/>
                <w:lang w:val="en-GB"/>
              </w:rPr>
            </w:pPr>
            <w:r>
              <w:rPr>
                <w:rFonts w:ascii="Arial" w:hAnsi="Arial" w:eastAsia="Times New Roman" w:cs="Arial"/>
                <w:bCs/>
                <w:sz w:val="20"/>
                <w:szCs w:val="20"/>
                <w:lang w:val="en-GB"/>
              </w:rPr>
              <w:t xml:space="preserve">Incident description</w:t>
            </w:r>
            <w:r>
              <w:rPr>
                <w:rFonts w:ascii="Arial" w:hAnsi="Arial" w:eastAsia="Times New Roman" w:cs="Arial"/>
                <w:bCs/>
                <w:sz w:val="20"/>
                <w:szCs w:val="20"/>
                <w:lang w:val="en-GB"/>
              </w:rPr>
            </w:r>
          </w:p>
        </w:tc>
      </w:tr>
      <w:tr>
        <w:trPr>
          <w:trHeight w:val="441"/>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 Urgent</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Incident that disables the work of more than 10% of users using the network infrastructure. Incident that affects the business process that is of vital importance for the company.</w:t>
            </w:r>
            <w:r>
              <w:rPr>
                <w:rFonts w:ascii="Arial" w:hAnsi="Arial" w:eastAsia="Times New Roman" w:cs="Arial"/>
                <w:bCs/>
                <w:i/>
                <w:sz w:val="20"/>
                <w:szCs w:val="20"/>
                <w:lang w:val="en-GB"/>
              </w:rPr>
            </w:r>
          </w:p>
        </w:tc>
      </w:tr>
      <w:tr>
        <w:trPr>
          <w:trHeight w:val="897"/>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 High</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Incident that disables the work of one or more users, thereby partially undermining the business process relevant for the company operation.</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Medium</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12" w:space="0"/>
              <w:right w:val="single" w:color="000000" w:sz="12" w:space="0"/>
            </w:tcBorders>
            <w:tcW w:w="6001"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Incident that makes the work of one or more users difficult, but the network services are available. </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Low</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12" w:space="0"/>
              <w:right w:val="single" w:color="000000" w:sz="12" w:space="0"/>
            </w:tcBorders>
            <w:tcW w:w="6001" w:type="dxa"/>
            <w:textDirection w:val="lrTb"/>
            <w:noWrap w:val="false"/>
          </w:tcPr>
          <w:p>
            <w:pPr>
              <w:pBdr/>
              <w:spacing w:after="0" w:line="240" w:lineRule="auto"/>
              <w:ind w:left="284"/>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Incident that leads to minor disruption in the user's work but does not lead to the termination of services that the user uses </w:t>
            </w:r>
            <w:r>
              <w:rPr>
                <w:rFonts w:ascii="Arial" w:hAnsi="Arial" w:eastAsia="Times New Roman" w:cs="Arial"/>
                <w:bCs/>
                <w:i/>
                <w:sz w:val="20"/>
                <w:szCs w:val="20"/>
                <w:lang w:val="en-GB"/>
              </w:rPr>
            </w:r>
          </w:p>
        </w:tc>
      </w:tr>
    </w:tbl>
    <w:p>
      <w:pPr>
        <w:pBdr/>
        <w:spacing w:after="0" w:line="240" w:lineRule="auto"/>
        <w:ind w:left="284"/>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i/>
          <w:sz w:val="20"/>
          <w:szCs w:val="20"/>
          <w:lang w:val="en-GB"/>
        </w:rPr>
        <w:t xml:space="preserve"> </w:t>
      </w:r>
      <w:r>
        <w:rPr>
          <w:rFonts w:ascii="Arial" w:hAnsi="Arial" w:eastAsia="Times New Roman" w:cs="Arial"/>
          <w:bCs/>
          <w:sz w:val="20"/>
          <w:szCs w:val="20"/>
          <w:lang w:val="en-GB"/>
        </w:rPr>
        <w:t xml:space="preserve">The Contractor shall deliver the following level of service for the agreed services:</w:t>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tbl>
      <w:tblPr>
        <w:tblInd w:w="720" w:type="dxa"/>
        <w:tblW w:w="9889"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1856"/>
        <w:gridCol w:w="411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after="20" w:before="20" w:line="240" w:lineRule="auto"/>
              <w:ind w:left="284"/>
              <w:jc w:val="center"/>
              <w:rPr>
                <w:rFonts w:ascii="Arial" w:hAnsi="Arial" w:eastAsia="Times New Roman" w:cs="Arial"/>
                <w:bCs/>
                <w:sz w:val="20"/>
                <w:szCs w:val="20"/>
                <w:lang w:val="en-GB"/>
              </w:rPr>
            </w:pPr>
            <w:r>
              <w:rPr>
                <w:rFonts w:ascii="Arial" w:hAnsi="Arial" w:eastAsia="Times New Roman" w:cs="Arial"/>
                <w:bCs/>
                <w:sz w:val="20"/>
                <w:szCs w:val="20"/>
                <w:lang w:val="en-GB"/>
              </w:rPr>
              <w:t xml:space="preserve">Service</w:t>
            </w:r>
            <w:r>
              <w:rPr>
                <w:rFonts w:ascii="Arial" w:hAnsi="Arial" w:eastAsia="Times New Roman" w:cs="Arial"/>
                <w:bCs/>
                <w:sz w:val="20"/>
                <w:szCs w:val="20"/>
                <w:lang w:val="en-GB"/>
              </w:rPr>
            </w:r>
          </w:p>
        </w:tc>
        <w:tc>
          <w:tcPr>
            <w:shd w:val="clear" w:color="auto" w:fill="d5dce4" w:themeFill="text2" w:themeFillTint="33"/>
            <w:tcBorders>
              <w:top w:val="single" w:color="000000" w:sz="12" w:space="0"/>
              <w:left w:val="none" w:color="000000" w:sz="4" w:space="0"/>
              <w:bottom w:val="single" w:color="000000" w:sz="12"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sz w:val="20"/>
                <w:szCs w:val="20"/>
                <w:lang w:val="en-GB"/>
              </w:rPr>
            </w:pPr>
            <w:r>
              <w:rPr>
                <w:rFonts w:ascii="Arial" w:hAnsi="Arial" w:eastAsia="Times New Roman" w:cs="Arial"/>
                <w:bCs/>
                <w:sz w:val="20"/>
                <w:szCs w:val="20"/>
                <w:lang w:val="en-GB"/>
              </w:rPr>
              <w:t xml:space="preserve">KPI</w:t>
            </w:r>
            <w:r>
              <w:rPr>
                <w:rFonts w:ascii="Arial" w:hAnsi="Arial" w:eastAsia="Times New Roman" w:cs="Arial"/>
                <w:bCs/>
                <w:sz w:val="20"/>
                <w:szCs w:val="20"/>
                <w:lang w:val="en-GB"/>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4111" w:type="dxa"/>
            <w:textDirection w:val="lrTb"/>
            <w:noWrap w:val="false"/>
          </w:tcPr>
          <w:p>
            <w:pPr>
              <w:pBdr/>
              <w:spacing w:after="20" w:before="20" w:line="240" w:lineRule="auto"/>
              <w:ind w:right="113" w:left="284"/>
              <w:jc w:val="center"/>
              <w:rPr>
                <w:rFonts w:ascii="Arial" w:hAnsi="Arial" w:eastAsia="Times New Roman" w:cs="Arial"/>
                <w:bCs/>
                <w:sz w:val="20"/>
                <w:szCs w:val="20"/>
                <w:lang w:val="en-GB"/>
              </w:rPr>
            </w:pPr>
            <w:r>
              <w:rPr>
                <w:rFonts w:ascii="Arial" w:hAnsi="Arial" w:eastAsia="Times New Roman" w:cs="Arial"/>
                <w:bCs/>
                <w:sz w:val="20"/>
                <w:szCs w:val="20"/>
                <w:lang w:val="en-GB"/>
              </w:rPr>
              <w:t xml:space="preserve">Requested SLA level </w:t>
            </w:r>
            <w:r>
              <w:rPr>
                <w:rFonts w:ascii="Arial" w:hAnsi="Arial" w:eastAsia="Times New Roman" w:cs="Arial"/>
                <w:bCs/>
                <w:sz w:val="20"/>
                <w:szCs w:val="20"/>
                <w:lang w:val="en-GB"/>
              </w:rPr>
            </w:r>
          </w:p>
          <w:p>
            <w:pPr>
              <w:pBdr/>
              <w:spacing w:after="20" w:before="20" w:line="240" w:lineRule="auto"/>
              <w:ind w:right="113" w:left="284"/>
              <w:jc w:val="center"/>
              <w:rPr>
                <w:rFonts w:ascii="Arial" w:hAnsi="Arial" w:eastAsia="Times New Roman" w:cs="Arial"/>
                <w:bCs/>
                <w:sz w:val="20"/>
                <w:szCs w:val="20"/>
                <w:lang w:val="en-GB"/>
              </w:rPr>
            </w:pPr>
            <w:r>
              <w:rPr>
                <w:rFonts w:ascii="Arial" w:hAnsi="Arial" w:eastAsia="Times New Roman" w:cs="Arial"/>
                <w:bCs/>
                <w:sz w:val="20"/>
                <w:szCs w:val="20"/>
                <w:lang w:val="en-GB"/>
              </w:rPr>
              <w:t xml:space="preserve">(monthly)</w:t>
            </w:r>
            <w:r>
              <w:rPr>
                <w:rFonts w:ascii="Arial" w:hAnsi="Arial" w:eastAsia="Times New Roman" w:cs="Arial"/>
                <w:bCs/>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Service availability</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А</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&lt;N&gt;%</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Solving of first level incidents</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RT / WТ / FRT</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&lt;N&gt; min / &lt;N&gt; hours / &lt;N&gt; days</w:t>
            </w:r>
            <w:r>
              <w:rPr>
                <w:rFonts w:ascii="Arial" w:hAnsi="Arial" w:eastAsia="Times New Roman" w:cs="Arial"/>
                <w:bCs/>
                <w:i/>
                <w:sz w:val="20"/>
                <w:szCs w:val="20"/>
                <w:lang w:val="en-GB"/>
              </w:rPr>
            </w:r>
          </w:p>
        </w:tc>
      </w:tr>
      <w:tr>
        <w:trPr>
          <w:trHeight w:val="228"/>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Solving of second level incidents</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RT / WТ / FRT </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&lt;N&gt; min / &lt;N&gt; hours / &lt;N&gt; days </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Solving of third level incidents</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RT / WТ / FRT</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&lt;N&gt; hours / &lt;N&gt; hours / &lt;N&gt; days</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Request realisation type 1</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KPI1/ KPI2/KPI3</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&lt;N&gt; hours / &lt;N&gt; hours / &lt;N&gt; days</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Request type 1</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KPI4/ KPI5/KPI6</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&lt;N&gt; hours / &lt;N&gt; hours / &lt;N&gt; days</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Project implementation</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Т/С/Б</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&lt;N&gt; % / &lt;N&gt;% / &lt;N&gt; %</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12" w:space="0"/>
              <w:right w:val="none" w:color="000000" w:sz="4" w:space="0"/>
            </w:tcBorders>
            <w:tcW w:w="1856"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op w:val="single" w:color="000000" w:sz="6" w:space="0"/>
              <w:left w:val="none" w:color="000000" w:sz="4" w:space="0"/>
              <w:bottom w:val="single" w:color="000000" w:sz="12" w:space="0"/>
              <w:right w:val="single" w:color="000000" w:sz="12" w:space="0"/>
            </w:tcBorders>
            <w:tcW w:w="4111"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r>
    </w:tbl>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11.2. Service performance measurement</w:t>
      </w:r>
      <w:r>
        <w:rPr>
          <w:rFonts w:ascii="Arial" w:hAnsi="Arial" w:eastAsia="Times New Roman" w:cs="Arial"/>
          <w:b/>
          <w:bCs/>
          <w:sz w:val="20"/>
          <w:szCs w:val="20"/>
          <w:lang w:val="en-GB"/>
        </w:rPr>
      </w:r>
    </w:p>
    <w:p>
      <w:pPr>
        <w:pBdr/>
        <w:spacing w:after="0" w:line="240" w:lineRule="auto"/>
        <w:ind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Contractor shall ensure the service performance measurement, evaluation of the measurement results and quality reporting for each service delivered at least once a month in accordance with the standards and needs of the Client.</w:t>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Contractor is obliged to monthly report on the actual delivered values of the key service quality indicators in relation to the agreed values in that month.</w:t>
      </w:r>
      <w:r>
        <w:rPr>
          <w:rFonts w:ascii="Arial" w:hAnsi="Arial" w:eastAsia="Times New Roman" w:cs="Arial"/>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responsible person of the Contractor must submit the performance report of the delivered services to the responsible person of the Client for approval before issuing a monthly invoice (invoicing). The Client is ent</w:t>
      </w:r>
      <w:r>
        <w:rPr>
          <w:rFonts w:ascii="Arial" w:hAnsi="Arial" w:eastAsia="Times New Roman" w:cs="Arial"/>
          <w:bCs/>
          <w:sz w:val="20"/>
          <w:szCs w:val="20"/>
          <w:lang w:val="en-GB"/>
        </w:rPr>
        <w:t xml:space="preserve">itled, during the final report approval procedure, to request additional information that the Client's Responsible person is obliged to submit. The Contractor can issue a monthly invoice after it receives approval from the responsible person of the Client.</w:t>
      </w:r>
      <w:r>
        <w:rPr>
          <w:rFonts w:ascii="Arial" w:hAnsi="Arial" w:eastAsia="Times New Roman" w:cs="Arial"/>
          <w:bCs/>
          <w:sz w:val="20"/>
          <w:szCs w:val="20"/>
          <w:lang w:val="en-GB"/>
        </w:rPr>
      </w:r>
    </w:p>
    <w:p>
      <w:pPr>
        <w:pBdr/>
        <w:spacing w:after="0" w:line="240" w:lineRule="auto"/>
        <w:ind w:right="270"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270"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11.3. Procedure for calculating penalties</w:t>
      </w:r>
      <w:r>
        <w:rPr>
          <w:rFonts w:ascii="Arial" w:hAnsi="Arial" w:eastAsia="Times New Roman" w:cs="Arial"/>
          <w:b/>
          <w:bCs/>
          <w:sz w:val="20"/>
          <w:szCs w:val="20"/>
          <w:lang w:val="en-GB"/>
        </w:rPr>
      </w:r>
    </w:p>
    <w:p>
      <w:pPr>
        <w:pBdr/>
        <w:spacing w:after="0" w:line="240" w:lineRule="auto"/>
        <w:ind w:right="270" w:left="284"/>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120" w:line="240" w:lineRule="auto"/>
        <w:ind w:left="284"/>
        <w:jc w:val="both"/>
        <w:rPr>
          <w:rFonts w:ascii="Arial" w:hAnsi="Arial" w:eastAsia="MS Mincho" w:cs="Arial"/>
          <w:sz w:val="20"/>
          <w:szCs w:val="20"/>
          <w:lang w:val="en-GB" w:eastAsia="nl-NL"/>
        </w:rPr>
      </w:pPr>
      <w:r>
        <w:rPr>
          <w:rFonts w:ascii="Arial" w:hAnsi="Arial" w:eastAsia="MS Mincho" w:cs="Arial"/>
          <w:sz w:val="20"/>
          <w:szCs w:val="20"/>
          <w:lang w:val="en-GB" w:eastAsia="nl-NL"/>
        </w:rPr>
        <w:tab/>
        <w:t xml:space="preserve">The penalties for a failure to achieve the agreed service level by the Contractor are defined as follows:</w:t>
      </w:r>
      <w:r>
        <w:rPr>
          <w:rFonts w:ascii="Arial" w:hAnsi="Arial" w:eastAsia="MS Mincho" w:cs="Arial"/>
          <w:sz w:val="20"/>
          <w:szCs w:val="20"/>
          <w:lang w:val="en-GB" w:eastAsia="nl-NL"/>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w:t>
      </w:r>
      <w:r>
        <w:rPr>
          <w:rFonts w:ascii="Arial" w:hAnsi="Arial" w:eastAsia="Times New Roman" w:cs="Arial"/>
          <w:bCs/>
          <w:i/>
          <w:sz w:val="20"/>
          <w:szCs w:val="20"/>
          <w:lang w:val="en-GB"/>
        </w:rPr>
        <w:t xml:space="preserve">Define the values for damage compensation (penalties) for each service. The table below can be adjusted to a specific metrics</w:t>
      </w:r>
      <w:r>
        <w:rPr>
          <w:rFonts w:ascii="Arial" w:hAnsi="Arial" w:eastAsia="Times New Roman" w:cs="Arial"/>
          <w:bCs/>
          <w:sz w:val="20"/>
          <w:szCs w:val="20"/>
          <w:lang w:val="en-GB"/>
        </w:rPr>
        <w:t xml:space="preserve">]</w:t>
      </w:r>
      <w:r>
        <w:rPr>
          <w:rFonts w:ascii="Arial" w:hAnsi="Arial" w:eastAsia="Times New Roman" w:cs="Arial"/>
          <w:bCs/>
          <w:sz w:val="20"/>
          <w:szCs w:val="20"/>
          <w:lang w:val="en-GB"/>
        </w:rPr>
      </w:r>
    </w:p>
    <w:tbl>
      <w:tblPr>
        <w:tblInd w:w="1317" w:type="dxa"/>
        <w:tblW w:w="130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368"/>
        <w:gridCol w:w="2890"/>
        <w:gridCol w:w="1980"/>
        <w:gridCol w:w="3420"/>
        <w:gridCol w:w="3420"/>
      </w:tblGrid>
      <w:tr>
        <w:trPr/>
        <w:tc>
          <w:tcPr>
            <w:shd w:val="clear" w:color="auto" w:fill="d5dce4" w:themeFill="text2" w:themeFillTint="33"/>
            <w:tcBorders/>
            <w:tcW w:w="1368" w:type="dxa"/>
            <w:textDirection w:val="lrTb"/>
            <w:noWrap w:val="false"/>
          </w:tcPr>
          <w:p>
            <w:pPr>
              <w:pBdr/>
              <w:spacing w:after="20" w:before="2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Service code</w:t>
            </w:r>
            <w:r>
              <w:rPr>
                <w:rFonts w:ascii="Arial" w:hAnsi="Arial" w:eastAsia="Times New Roman" w:cs="Arial"/>
                <w:b/>
                <w:bCs/>
                <w:sz w:val="20"/>
                <w:szCs w:val="20"/>
                <w:lang w:val="en-GB"/>
              </w:rPr>
            </w:r>
          </w:p>
        </w:tc>
        <w:tc>
          <w:tcPr>
            <w:shd w:val="clear" w:color="auto" w:fill="d5dce4" w:themeFill="text2" w:themeFillTint="33"/>
            <w:tcBorders/>
            <w:tcW w:w="2890" w:type="dxa"/>
            <w:textDirection w:val="lrTb"/>
            <w:noWrap w:val="false"/>
          </w:tcPr>
          <w:p>
            <w:pPr>
              <w:pBdr/>
              <w:spacing w:after="20" w:before="2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Service</w:t>
            </w:r>
            <w:r>
              <w:rPr>
                <w:rFonts w:ascii="Arial" w:hAnsi="Arial" w:eastAsia="Times New Roman" w:cs="Arial"/>
                <w:b/>
                <w:bCs/>
                <w:sz w:val="20"/>
                <w:szCs w:val="20"/>
                <w:lang w:val="en-GB"/>
              </w:rPr>
            </w:r>
          </w:p>
        </w:tc>
        <w:tc>
          <w:tcPr>
            <w:shd w:val="clear" w:color="auto" w:fill="d5dce4" w:themeFill="text2" w:themeFillTint="33"/>
            <w:tcBorders/>
            <w:tcW w:w="1980" w:type="dxa"/>
            <w:textDirection w:val="lrTb"/>
            <w:noWrap w:val="false"/>
          </w:tcPr>
          <w:p>
            <w:pPr>
              <w:pBdr/>
              <w:spacing w:after="20" w:before="20" w:line="240" w:lineRule="auto"/>
              <w:ind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KPI type</w:t>
            </w:r>
            <w:r>
              <w:rPr>
                <w:rFonts w:ascii="Arial" w:hAnsi="Arial" w:eastAsia="Times New Roman" w:cs="Arial"/>
                <w:b/>
                <w:bCs/>
                <w:sz w:val="20"/>
                <w:szCs w:val="20"/>
                <w:lang w:val="en-GB"/>
              </w:rPr>
            </w:r>
          </w:p>
        </w:tc>
        <w:tc>
          <w:tcPr>
            <w:shd w:val="clear" w:color="auto" w:fill="d5dce4" w:themeFill="text2" w:themeFillTint="33"/>
            <w:tcBorders/>
            <w:tcW w:w="3420" w:type="dxa"/>
            <w:textDirection w:val="lrTb"/>
            <w:noWrap w:val="false"/>
          </w:tcPr>
          <w:p>
            <w:pPr>
              <w:pBdr/>
              <w:spacing w:after="20" w:before="20" w:line="240" w:lineRule="auto"/>
              <w:ind w:right="113"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Requested SLA service level</w:t>
            </w:r>
            <w:r>
              <w:rPr>
                <w:rFonts w:ascii="Arial" w:hAnsi="Arial" w:eastAsia="Times New Roman" w:cs="Arial"/>
                <w:b/>
                <w:bCs/>
                <w:sz w:val="20"/>
                <w:szCs w:val="20"/>
                <w:lang w:val="en-GB"/>
              </w:rPr>
            </w:r>
          </w:p>
          <w:p>
            <w:pPr>
              <w:pBdr/>
              <w:spacing w:after="20" w:before="20" w:line="240" w:lineRule="auto"/>
              <w:ind w:right="113"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(monthly)</w:t>
            </w:r>
            <w:r>
              <w:rPr>
                <w:rFonts w:ascii="Arial" w:hAnsi="Arial" w:eastAsia="Times New Roman" w:cs="Arial"/>
                <w:b/>
                <w:bCs/>
                <w:sz w:val="20"/>
                <w:szCs w:val="20"/>
                <w:lang w:val="en-GB"/>
              </w:rPr>
            </w:r>
          </w:p>
        </w:tc>
        <w:tc>
          <w:tcPr>
            <w:shd w:val="clear" w:color="auto" w:fill="d5dce4" w:themeFill="text2" w:themeFillTint="33"/>
            <w:tcBorders/>
            <w:tcW w:w="3420" w:type="dxa"/>
            <w:textDirection w:val="lrTb"/>
            <w:noWrap w:val="false"/>
          </w:tcPr>
          <w:p>
            <w:pPr>
              <w:pBdr/>
              <w:spacing w:after="20" w:before="20" w:line="240" w:lineRule="auto"/>
              <w:ind w:right="113"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Penalty</w:t>
            </w:r>
            <w:r>
              <w:rPr>
                <w:rFonts w:ascii="Arial" w:hAnsi="Arial" w:eastAsia="Times New Roman" w:cs="Arial"/>
                <w:b/>
                <w:bCs/>
                <w:sz w:val="20"/>
                <w:szCs w:val="20"/>
                <w:lang w:val="en-GB"/>
              </w:rPr>
            </w:r>
          </w:p>
          <w:p>
            <w:pPr>
              <w:pBdr/>
              <w:spacing w:after="20" w:before="20" w:line="240" w:lineRule="auto"/>
              <w:ind w:right="113"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(RSD / % failure) </w:t>
            </w:r>
            <w:r>
              <w:rPr>
                <w:rFonts w:ascii="Arial" w:hAnsi="Arial" w:eastAsia="Times New Roman" w:cs="Arial"/>
                <w:b/>
                <w:bCs/>
                <w:sz w:val="20"/>
                <w:szCs w:val="20"/>
                <w:lang w:val="en-GB"/>
              </w:rPr>
            </w:r>
          </w:p>
          <w:p>
            <w:pPr>
              <w:pBdr/>
              <w:spacing w:after="20" w:before="20" w:line="240" w:lineRule="auto"/>
              <w:ind w:right="113" w:left="284"/>
              <w:jc w:val="center"/>
              <w:rPr>
                <w:rFonts w:ascii="Arial" w:hAnsi="Arial" w:eastAsia="Times New Roman" w:cs="Arial"/>
                <w:b/>
                <w:bCs/>
                <w:sz w:val="20"/>
                <w:szCs w:val="20"/>
                <w:lang w:val="en-GB"/>
              </w:rPr>
            </w:pPr>
            <w:r>
              <w:rPr>
                <w:rFonts w:ascii="Arial" w:hAnsi="Arial" w:eastAsia="Times New Roman" w:cs="Arial"/>
                <w:b/>
                <w:bCs/>
                <w:sz w:val="20"/>
                <w:szCs w:val="20"/>
                <w:lang w:val="en-GB"/>
              </w:rPr>
              <w:t xml:space="preserve">(VAT excluded)</w:t>
            </w:r>
            <w:r>
              <w:rPr>
                <w:rFonts w:ascii="Arial" w:hAnsi="Arial" w:eastAsia="Times New Roman" w:cs="Arial"/>
                <w:b/>
                <w:bCs/>
                <w:sz w:val="20"/>
                <w:szCs w:val="20"/>
                <w:lang w:val="en-GB"/>
              </w:rPr>
            </w:r>
          </w:p>
        </w:tc>
      </w:tr>
      <w:tr>
        <w:trPr/>
        <w:tc>
          <w:tcPr>
            <w:tcBorders/>
            <w:tcW w:w="1368"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S01</w:t>
            </w:r>
            <w:r>
              <w:rPr>
                <w:rFonts w:ascii="Arial" w:hAnsi="Arial" w:eastAsia="Times New Roman" w:cs="Arial"/>
                <w:bCs/>
                <w:i/>
                <w:sz w:val="20"/>
                <w:szCs w:val="20"/>
                <w:lang w:val="en-GB"/>
              </w:rPr>
            </w:r>
          </w:p>
        </w:tc>
        <w:tc>
          <w:tcPr>
            <w:tcBorders/>
            <w:tcW w:w="2890"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Service</w:t>
            </w:r>
            <w:r>
              <w:rPr>
                <w:rFonts w:ascii="Arial" w:hAnsi="Arial" w:eastAsia="Times New Roman" w:cs="Arial"/>
                <w:bCs/>
                <w:i/>
                <w:sz w:val="20"/>
                <w:szCs w:val="20"/>
                <w:lang w:val="en-GB"/>
              </w:rPr>
            </w:r>
          </w:p>
        </w:tc>
        <w:tc>
          <w:tcPr>
            <w:tcBorders/>
            <w:tcW w:w="1980"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A</w:t>
            </w:r>
            <w:r>
              <w:rPr>
                <w:rFonts w:ascii="Arial" w:hAnsi="Arial" w:eastAsia="Times New Roman" w:cs="Arial"/>
                <w:bCs/>
                <w:i/>
                <w:sz w:val="20"/>
                <w:szCs w:val="20"/>
                <w:lang w:val="en-GB"/>
              </w:rPr>
            </w:r>
          </w:p>
        </w:tc>
        <w:tc>
          <w:tcPr>
            <w:tcBorders/>
            <w:tcW w:w="3420"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Availability equal to or greater than 99%</w:t>
            </w:r>
            <w:r>
              <w:rPr>
                <w:rFonts w:ascii="Arial" w:hAnsi="Arial" w:eastAsia="Times New Roman" w:cs="Arial"/>
                <w:bCs/>
                <w:i/>
                <w:sz w:val="20"/>
                <w:szCs w:val="20"/>
                <w:lang w:val="en-GB"/>
              </w:rPr>
            </w:r>
          </w:p>
        </w:tc>
        <w:tc>
          <w:tcPr>
            <w:tcBorders/>
            <w:tcW w:w="3420"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r>
      <w:tr>
        <w:trPr/>
        <w:tc>
          <w:tcPr>
            <w:tcBorders/>
            <w:tcW w:w="1368"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cW w:w="2890"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cW w:w="1980"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cW w:w="3420"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c>
          <w:tcPr>
            <w:tcBorders/>
            <w:tcW w:w="3420"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t xml:space="preserve">…</w:t>
            </w:r>
            <w:r>
              <w:rPr>
                <w:rFonts w:ascii="Arial" w:hAnsi="Arial" w:eastAsia="Times New Roman" w:cs="Arial"/>
                <w:bCs/>
                <w:i/>
                <w:sz w:val="20"/>
                <w:szCs w:val="20"/>
                <w:lang w:val="en-GB"/>
              </w:rPr>
            </w:r>
          </w:p>
        </w:tc>
      </w:tr>
      <w:tr>
        <w:trPr/>
        <w:tc>
          <w:tcPr>
            <w:tcBorders/>
            <w:tcW w:w="1368"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c>
          <w:tcPr>
            <w:tcBorders/>
            <w:tcW w:w="2890" w:type="dxa"/>
            <w:textDirection w:val="lrTb"/>
            <w:noWrap w:val="false"/>
          </w:tcPr>
          <w:p>
            <w:pPr>
              <w:pBdr/>
              <w:spacing w:after="20" w:before="20" w:line="240" w:lineRule="auto"/>
              <w:ind w:left="284"/>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c>
          <w:tcPr>
            <w:tcBorders/>
            <w:tcW w:w="1980"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c>
          <w:tcPr>
            <w:tcBorders/>
            <w:tcW w:w="3420"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c>
          <w:tcPr>
            <w:tcBorders/>
            <w:tcW w:w="3420" w:type="dxa"/>
            <w:textDirection w:val="lrTb"/>
            <w:noWrap w:val="false"/>
          </w:tcPr>
          <w:p>
            <w:pPr>
              <w:pBdr/>
              <w:spacing w:after="20" w:before="20" w:line="240" w:lineRule="auto"/>
              <w:ind w:left="284"/>
              <w:jc w:val="center"/>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tc>
      </w:tr>
    </w:tbl>
    <w:p>
      <w:pPr>
        <w:pBdr/>
        <w:spacing w:after="120" w:line="240" w:lineRule="auto"/>
        <w:ind w:left="284"/>
        <w:jc w:val="both"/>
        <w:rPr>
          <w:rFonts w:ascii="Arial" w:hAnsi="Arial" w:eastAsia="MS Mincho" w:cs="Arial"/>
          <w:sz w:val="20"/>
          <w:szCs w:val="20"/>
          <w:lang w:val="en-GB" w:eastAsia="nl-NL"/>
        </w:rPr>
      </w:pPr>
      <w:r>
        <w:rPr>
          <w:rFonts w:ascii="Arial" w:hAnsi="Arial" w:eastAsia="MS Mincho" w:cs="Arial"/>
          <w:sz w:val="20"/>
          <w:szCs w:val="20"/>
          <w:lang w:val="en-GB" w:eastAsia="nl-NL"/>
        </w:rPr>
      </w:r>
      <w:r>
        <w:rPr>
          <w:rFonts w:ascii="Arial" w:hAnsi="Arial" w:eastAsia="MS Mincho" w:cs="Arial"/>
          <w:sz w:val="20"/>
          <w:szCs w:val="20"/>
          <w:lang w:val="en-GB" w:eastAsia="nl-NL"/>
        </w:rPr>
      </w:r>
    </w:p>
    <w:p>
      <w:pPr>
        <w:pBdr/>
        <w:spacing w:after="120" w:line="240" w:lineRule="auto"/>
        <w:ind w:right="270" w:left="284"/>
        <w:jc w:val="both"/>
        <w:rPr>
          <w:rFonts w:ascii="Arial" w:hAnsi="Arial" w:eastAsia="MS Mincho" w:cs="Arial"/>
          <w:sz w:val="20"/>
          <w:szCs w:val="20"/>
          <w:lang w:val="en-GB" w:eastAsia="nl-NL"/>
        </w:rPr>
      </w:pPr>
      <w:r>
        <w:rPr>
          <w:rFonts w:ascii="Arial" w:hAnsi="Arial" w:eastAsia="MS Mincho" w:cs="Arial"/>
          <w:sz w:val="20"/>
          <w:szCs w:val="20"/>
          <w:lang w:val="en-GB" w:eastAsia="nl-NL"/>
        </w:rPr>
        <w:t xml:space="preserve">The maximum value of the mo</w:t>
      </w:r>
      <w:r>
        <w:rPr>
          <w:rFonts w:ascii="Arial" w:hAnsi="Arial" w:eastAsia="MS Mincho" w:cs="Arial"/>
          <w:sz w:val="20"/>
          <w:szCs w:val="20"/>
          <w:lang w:val="en-GB" w:eastAsia="nl-NL"/>
        </w:rPr>
        <w:t xml:space="preserve">nthly penalty cannot be higher than ___% of the value of the monthly invoice for the services provided in that month. The Contractor agrees to reduce the value of the next monthly invoice for the total calculated value of the penalty for the current month.</w:t>
      </w:r>
      <w:r>
        <w:rPr>
          <w:rFonts w:ascii="Arial" w:hAnsi="Arial" w:eastAsia="MS Mincho" w:cs="Arial"/>
          <w:sz w:val="20"/>
          <w:szCs w:val="20"/>
          <w:lang w:val="en-GB" w:eastAsia="nl-NL"/>
        </w:rPr>
      </w:r>
    </w:p>
    <w:p>
      <w:pPr>
        <w:pBdr/>
        <w:spacing w:after="120" w:line="240" w:lineRule="auto"/>
        <w:ind w:right="270" w:left="284"/>
        <w:jc w:val="both"/>
        <w:rPr>
          <w:rFonts w:ascii="Arial" w:hAnsi="Arial" w:eastAsia="MS Mincho" w:cs="Arial"/>
          <w:sz w:val="20"/>
          <w:szCs w:val="20"/>
          <w:lang w:val="en-GB" w:eastAsia="nl-NL"/>
        </w:rPr>
      </w:pPr>
      <w:r>
        <w:rPr>
          <w:rFonts w:ascii="Arial" w:hAnsi="Arial" w:eastAsia="MS Mincho" w:cs="Arial"/>
          <w:sz w:val="20"/>
          <w:szCs w:val="20"/>
          <w:lang w:val="en-GB" w:eastAsia="nl-NL"/>
        </w:rPr>
        <w:t xml:space="preserve"> [If any failure to meet a particular KPI in whole or in part arises as a result of the cause for which the Contractor is not substantially liable</w:t>
      </w:r>
      <w:r>
        <w:rPr>
          <w:rFonts w:ascii="Arial" w:hAnsi="Arial" w:eastAsia="MS Mincho" w:cs="Arial"/>
          <w:sz w:val="20"/>
          <w:szCs w:val="20"/>
          <w:lang w:val="en-GB" w:eastAsia="nl-NL"/>
        </w:rPr>
        <w:t xml:space="preserve">, including but not limited to the Client's liability, or liability of any third party of the Client for a failure to perform a specific task or liability in respect of such KPI, or any hardware or software - to the extent that the operation of such hardwa</w:t>
      </w:r>
      <w:r>
        <w:rPr>
          <w:rFonts w:ascii="Arial" w:hAnsi="Arial" w:eastAsia="MS Mincho" w:cs="Arial"/>
          <w:sz w:val="20"/>
          <w:szCs w:val="20"/>
          <w:lang w:val="en-GB" w:eastAsia="nl-NL"/>
        </w:rPr>
        <w:t xml:space="preserve">re or software is not part of the KPI concerned, or telecommunications network downtime, or inability to intervene in the field due to the reasons for which Contractor is not responsible, the Contractor shall not be liable for a failure to fulfil this KPI.</w:t>
      </w:r>
      <w:r>
        <w:rPr>
          <w:rFonts w:ascii="Arial" w:hAnsi="Arial" w:eastAsia="MS Mincho" w:cs="Arial"/>
          <w:sz w:val="20"/>
          <w:szCs w:val="20"/>
          <w:lang w:val="en-GB" w:eastAsia="nl-NL"/>
        </w:rPr>
      </w:r>
    </w:p>
    <w:p>
      <w:pPr>
        <w:pBdr/>
        <w:spacing w:after="120" w:line="240" w:lineRule="auto"/>
        <w:ind w:right="270" w:left="284"/>
        <w:jc w:val="both"/>
        <w:rPr>
          <w:rFonts w:ascii="Arial" w:hAnsi="Arial" w:eastAsia="MS Mincho" w:cs="Arial"/>
          <w:sz w:val="20"/>
          <w:szCs w:val="20"/>
          <w:lang w:val="en-GB" w:eastAsia="nl-NL"/>
        </w:rPr>
      </w:pPr>
      <w:r>
        <w:rPr>
          <w:rFonts w:ascii="Arial" w:hAnsi="Arial" w:eastAsia="MS Mincho" w:cs="Arial"/>
          <w:sz w:val="20"/>
          <w:szCs w:val="20"/>
          <w:lang w:val="en-GB" w:eastAsia="nl-NL"/>
        </w:rPr>
      </w:r>
      <w:r>
        <w:rPr>
          <w:rFonts w:ascii="Arial" w:hAnsi="Arial" w:eastAsia="MS Mincho" w:cs="Arial"/>
          <w:sz w:val="20"/>
          <w:szCs w:val="20"/>
          <w:lang w:val="en-GB" w:eastAsia="nl-NL"/>
        </w:rPr>
      </w:r>
    </w:p>
    <w:p>
      <w:pPr>
        <w:pBdr/>
        <w:tabs>
          <w:tab w:val="left" w:leader="none" w:pos="15480"/>
        </w:tabs>
        <w:spacing w:after="120" w:line="240" w:lineRule="auto"/>
        <w:ind w:right="270" w:left="284"/>
        <w:jc w:val="both"/>
        <w:rPr>
          <w:rFonts w:ascii="Arial" w:hAnsi="Arial" w:eastAsia="MS Mincho" w:cs="Arial"/>
          <w:sz w:val="20"/>
          <w:szCs w:val="20"/>
          <w:lang w:val="en-GB" w:eastAsia="nl-NL"/>
        </w:rPr>
      </w:pPr>
      <w:r>
        <w:rPr>
          <w:rFonts w:ascii="Arial" w:hAnsi="Arial" w:eastAsia="MS Mincho" w:cs="Arial"/>
          <w:sz w:val="20"/>
          <w:szCs w:val="20"/>
          <w:lang w:val="en-GB" w:eastAsia="nl-NL"/>
        </w:rPr>
        <w:t xml:space="preserve">The penalties can only be charged when it is unquestionable that the Contractor is responsible for the deviation of the service quality under </w:t>
      </w:r>
      <w:r>
        <w:rPr>
          <w:rFonts w:ascii="Arial" w:hAnsi="Arial" w:eastAsia="MS Mincho" w:cs="Arial"/>
          <w:sz w:val="20"/>
          <w:szCs w:val="20"/>
          <w:lang w:val="en-GB" w:eastAsia="nl-NL"/>
        </w:rPr>
        <w:t xml:space="preserve">SLA  due</w:t>
      </w:r>
      <w:r>
        <w:rPr>
          <w:rFonts w:ascii="Arial" w:hAnsi="Arial" w:eastAsia="MS Mincho" w:cs="Arial"/>
          <w:sz w:val="20"/>
          <w:szCs w:val="20"/>
          <w:lang w:val="en-GB" w:eastAsia="nl-NL"/>
        </w:rPr>
        <w:t xml:space="preserve"> to its actions or failures to act.]</w:t>
      </w:r>
      <w:r>
        <w:rPr>
          <w:rFonts w:ascii="Arial" w:hAnsi="Arial" w:eastAsia="MS Mincho" w:cs="Arial"/>
          <w:sz w:val="20"/>
          <w:szCs w:val="20"/>
          <w:lang w:val="en-GB" w:eastAsia="nl-NL"/>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i/>
          <w:sz w:val="20"/>
          <w:szCs w:val="20"/>
          <w:lang w:val="en-GB"/>
        </w:rPr>
        <w:t xml:space="preserve"> [Add additional procedure elements, if needed.</w:t>
      </w:r>
      <w:r>
        <w:rPr>
          <w:rFonts w:ascii="Arial" w:hAnsi="Arial" w:eastAsia="Times New Roman" w:cs="Arial"/>
          <w:bCs/>
          <w:sz w:val="20"/>
          <w:szCs w:val="20"/>
          <w:lang w:val="en-GB"/>
        </w:rPr>
        <w:t xml:space="preserve">]</w:t>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12. SERVICE DELIVERY SCHEDULE</w:t>
      </w:r>
      <w:r>
        <w:rPr>
          <w:rFonts w:ascii="Arial" w:hAnsi="Arial" w:eastAsia="Times New Roman" w:cs="Arial"/>
          <w:b/>
          <w:bCs/>
          <w:sz w:val="20"/>
          <w:szCs w:val="20"/>
          <w:lang w:val="en-GB"/>
        </w:rPr>
      </w:r>
    </w:p>
    <w:p>
      <w:pPr>
        <w:pBdr/>
        <w:spacing w:after="0" w:line="240" w:lineRule="auto"/>
        <w:ind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12.1. Service delivery milestones</w:t>
      </w:r>
      <w:r>
        <w:rPr>
          <w:rFonts w:ascii="Arial" w:hAnsi="Arial" w:eastAsia="Times New Roman" w:cs="Arial"/>
          <w:b/>
          <w:bCs/>
          <w:sz w:val="20"/>
          <w:szCs w:val="20"/>
          <w:lang w:val="en-GB"/>
        </w:rPr>
      </w:r>
    </w:p>
    <w:p>
      <w:pPr>
        <w:pBdr/>
        <w:spacing w:after="0" w:line="240" w:lineRule="auto"/>
        <w:ind w:right="27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[For I</w:t>
      </w:r>
      <w:r>
        <w:rPr>
          <w:rFonts w:ascii="Arial" w:hAnsi="Arial" w:eastAsia="Times New Roman" w:cs="Arial"/>
          <w:bCs/>
          <w:i/>
          <w:sz w:val="20"/>
          <w:szCs w:val="20"/>
          <w:lang w:val="en-GB"/>
        </w:rPr>
        <w:t xml:space="preserve">T services that introduce new or modify existing IT services, describe the phases, timeframes, tasks, and deliverables that the Contractor or the Client should implement. For example, describe the phases of transition, transformation, and operations, etc.]</w:t>
      </w:r>
      <w:r>
        <w:rPr>
          <w:rFonts w:ascii="Arial" w:hAnsi="Arial" w:eastAsia="Times New Roman" w:cs="Arial"/>
          <w:bCs/>
          <w:i/>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27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[For IT services for project implementation or consulting services, service phases, time frames, tasks and deliverables that the Contractor or the Client should implement.]</w:t>
      </w:r>
      <w:r>
        <w:rPr>
          <w:rFonts w:ascii="Arial" w:hAnsi="Arial" w:eastAsia="Times New Roman" w:cs="Arial"/>
          <w:bCs/>
          <w:i/>
          <w:sz w:val="20"/>
          <w:szCs w:val="20"/>
          <w:lang w:val="en-GB"/>
        </w:rPr>
      </w:r>
    </w:p>
    <w:p>
      <w:pPr>
        <w:pBdr/>
        <w:spacing w:after="0" w:line="240" w:lineRule="auto"/>
        <w:ind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12.2. Roles and responsibilities of the Client and Contractor </w:t>
      </w:r>
      <w:r>
        <w:rPr>
          <w:rFonts w:ascii="Arial" w:hAnsi="Arial" w:eastAsia="Times New Roman" w:cs="Arial"/>
          <w:b/>
          <w:bCs/>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[Describe roles and responsibilities of the Client and Contractor for each milestone]</w:t>
      </w:r>
      <w:r>
        <w:rPr>
          <w:rFonts w:ascii="Arial" w:hAnsi="Arial" w:eastAsia="Times New Roman" w:cs="Arial"/>
          <w:bCs/>
          <w:i/>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r>
      <w:r>
        <w:rPr>
          <w:rFonts w:ascii="Arial" w:hAnsi="Arial" w:eastAsia="Times New Roman" w:cs="Arial"/>
          <w:bCs/>
          <w:i/>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13. </w:t>
      </w:r>
      <w:r>
        <w:rPr>
          <w:rFonts w:ascii="Arial" w:hAnsi="Arial" w:eastAsia="Times New Roman" w:cs="Arial"/>
          <w:b/>
          <w:bCs/>
          <w:sz w:val="20"/>
          <w:szCs w:val="20"/>
          <w:lang w:val="en-GB"/>
        </w:rPr>
        <w:t xml:space="preserve">CLIENT’S PROPERTY RIGHTS</w:t>
      </w:r>
      <w:r>
        <w:rPr>
          <w:rFonts w:ascii="Arial" w:hAnsi="Arial" w:eastAsia="Times New Roman" w:cs="Arial"/>
          <w:bCs/>
          <w:i/>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Client acquires the following rights by paying the agreed price:</w:t>
      </w:r>
      <w:r>
        <w:rPr>
          <w:rFonts w:ascii="Arial" w:hAnsi="Arial" w:eastAsia="Times New Roman" w:cs="Arial"/>
          <w:bCs/>
          <w:sz w:val="20"/>
          <w:szCs w:val="20"/>
          <w:lang w:val="en-GB"/>
        </w:rPr>
      </w:r>
    </w:p>
    <w:p>
      <w:pPr>
        <w:numPr>
          <w:ilvl w:val="0"/>
          <w:numId w:val="5"/>
        </w:numPr>
        <w:pBdr/>
        <w:spacing w:after="0" w:line="240" w:lineRule="auto"/>
        <w:ind w:firstLine="0" w:left="284"/>
        <w:contextualSpacing w:val="true"/>
        <w:jc w:val="both"/>
        <w:rPr>
          <w:rFonts w:ascii="Arial" w:hAnsi="Arial" w:eastAsia="Times New Roman" w:cs="Arial"/>
          <w:b/>
          <w:bCs/>
          <w:sz w:val="20"/>
          <w:szCs w:val="20"/>
          <w:lang w:val="en-GB"/>
        </w:rPr>
      </w:pPr>
      <w:r>
        <w:rPr>
          <w:rFonts w:ascii="Arial" w:hAnsi="Arial" w:eastAsia="Times New Roman" w:cs="Arial"/>
          <w:bCs/>
          <w:sz w:val="20"/>
          <w:szCs w:val="20"/>
          <w:lang w:val="en-GB"/>
        </w:rPr>
        <w:t xml:space="preserve">Property right on equipment____________________________ </w:t>
      </w:r>
      <w:r>
        <w:rPr>
          <w:rFonts w:ascii="Arial" w:hAnsi="Arial" w:eastAsia="Times New Roman" w:cs="Arial"/>
          <w:b/>
          <w:bCs/>
          <w:sz w:val="20"/>
          <w:szCs w:val="20"/>
          <w:lang w:val="en-GB"/>
        </w:rPr>
        <w:t xml:space="preserve">(delete if the Client does not acquire the property right)</w:t>
      </w:r>
      <w:r>
        <w:rPr>
          <w:rFonts w:ascii="Arial" w:hAnsi="Arial" w:eastAsia="Times New Roman" w:cs="Arial"/>
          <w:b/>
          <w:bCs/>
          <w:sz w:val="20"/>
          <w:szCs w:val="20"/>
          <w:lang w:val="en-GB"/>
        </w:rPr>
      </w:r>
    </w:p>
    <w:p>
      <w:pPr>
        <w:numPr>
          <w:ilvl w:val="0"/>
          <w:numId w:val="5"/>
        </w:numPr>
        <w:pBdr/>
        <w:spacing w:after="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Right to use the equipment ___________________________ in the period (</w:t>
      </w:r>
      <w:r>
        <w:rPr>
          <w:rFonts w:ascii="Arial" w:hAnsi="Arial" w:eastAsia="Times New Roman" w:cs="Arial"/>
          <w:b/>
          <w:bCs/>
          <w:i/>
          <w:sz w:val="20"/>
          <w:szCs w:val="20"/>
          <w:lang w:val="en-GB"/>
        </w:rPr>
        <w:t xml:space="preserve">delete the right to use if it is not contracted or the period if it is for an indefinite time)</w:t>
      </w:r>
      <w:r>
        <w:rPr>
          <w:rFonts w:ascii="Arial" w:hAnsi="Arial" w:eastAsia="Times New Roman" w:cs="Arial"/>
          <w:bCs/>
          <w:sz w:val="20"/>
          <w:szCs w:val="20"/>
          <w:lang w:val="en-GB"/>
        </w:rPr>
        <w:t xml:space="preserve">)______________</w:t>
      </w:r>
      <w:r>
        <w:rPr>
          <w:rFonts w:ascii="Arial" w:hAnsi="Arial" w:eastAsia="Times New Roman" w:cs="Arial"/>
          <w:bCs/>
          <w:sz w:val="20"/>
          <w:szCs w:val="20"/>
          <w:lang w:val="en-GB"/>
        </w:rPr>
      </w:r>
    </w:p>
    <w:p>
      <w:pPr>
        <w:numPr>
          <w:ilvl w:val="0"/>
          <w:numId w:val="5"/>
        </w:numPr>
        <w:pBdr/>
        <w:spacing w:after="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Right to use software solution___________________ in the period (</w:t>
      </w:r>
      <w:r>
        <w:rPr>
          <w:rFonts w:ascii="Arial" w:hAnsi="Arial" w:eastAsia="Times New Roman" w:cs="Arial"/>
          <w:b/>
          <w:bCs/>
          <w:i/>
          <w:sz w:val="20"/>
          <w:szCs w:val="20"/>
          <w:lang w:val="en-GB"/>
        </w:rPr>
        <w:t xml:space="preserve">delete the period if it is for indefinite time</w:t>
      </w:r>
      <w:r>
        <w:rPr>
          <w:rFonts w:ascii="Arial" w:hAnsi="Arial" w:eastAsia="Times New Roman" w:cs="Arial"/>
          <w:bCs/>
          <w:sz w:val="20"/>
          <w:szCs w:val="20"/>
          <w:lang w:val="en-GB"/>
        </w:rPr>
        <w:t xml:space="preserve">)______________</w:t>
      </w:r>
      <w:r>
        <w:rPr>
          <w:rFonts w:ascii="Arial" w:hAnsi="Arial" w:eastAsia="Times New Roman" w:cs="Arial"/>
          <w:bCs/>
          <w:sz w:val="20"/>
          <w:szCs w:val="20"/>
          <w:lang w:val="en-GB"/>
        </w:rPr>
      </w:r>
    </w:p>
    <w:p>
      <w:pPr>
        <w:numPr>
          <w:ilvl w:val="0"/>
          <w:numId w:val="5"/>
        </w:numPr>
        <w:pBdr/>
        <w:spacing w:after="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Right to dispose of a software solution including the right to sell it to a third party _______ (</w:t>
      </w:r>
      <w:r>
        <w:rPr>
          <w:rFonts w:ascii="Arial" w:hAnsi="Arial" w:eastAsia="Times New Roman" w:cs="Arial"/>
          <w:b/>
          <w:bCs/>
          <w:sz w:val="20"/>
          <w:szCs w:val="20"/>
          <w:lang w:val="en-GB"/>
        </w:rPr>
        <w:t xml:space="preserve">delete if the Client does not acquire the right to dispose)</w:t>
      </w:r>
      <w:r>
        <w:rPr>
          <w:rFonts w:ascii="Arial" w:hAnsi="Arial" w:eastAsia="Times New Roman" w:cs="Arial"/>
          <w:bCs/>
          <w:sz w:val="20"/>
          <w:szCs w:val="20"/>
          <w:lang w:val="en-GB"/>
        </w:rPr>
      </w:r>
    </w:p>
    <w:p>
      <w:pPr>
        <w:numPr>
          <w:ilvl w:val="0"/>
          <w:numId w:val="5"/>
        </w:numPr>
        <w:pBdr/>
        <w:spacing w:after="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 Right to reproduce the software solution _______________ (</w:t>
      </w:r>
      <w:r>
        <w:rPr>
          <w:rFonts w:ascii="Arial" w:hAnsi="Arial" w:eastAsia="Times New Roman" w:cs="Arial"/>
          <w:b/>
          <w:bCs/>
          <w:sz w:val="20"/>
          <w:szCs w:val="20"/>
          <w:lang w:val="en-GB"/>
        </w:rPr>
        <w:t xml:space="preserve">delete if the Client does not acquire the right to reproduce the software solution</w:t>
      </w:r>
      <w:r>
        <w:rPr>
          <w:rFonts w:ascii="Arial" w:hAnsi="Arial" w:eastAsia="Times New Roman" w:cs="Arial"/>
          <w:bCs/>
          <w:sz w:val="20"/>
          <w:szCs w:val="20"/>
          <w:lang w:val="en-GB"/>
        </w:rPr>
        <w:t xml:space="preserve">)</w:t>
      </w:r>
      <w:r>
        <w:rPr>
          <w:rFonts w:ascii="Arial" w:hAnsi="Arial" w:eastAsia="Times New Roman" w:cs="Arial"/>
          <w:bCs/>
          <w:sz w:val="20"/>
          <w:szCs w:val="20"/>
          <w:lang w:val="en-GB"/>
        </w:rPr>
      </w:r>
    </w:p>
    <w:p>
      <w:pPr>
        <w:numPr>
          <w:ilvl w:val="0"/>
          <w:numId w:val="5"/>
        </w:numPr>
        <w:pBdr/>
        <w:spacing w:after="0" w:line="240" w:lineRule="auto"/>
        <w:ind w:firstLine="0" w:left="284"/>
        <w:contextualSpacing w:val="true"/>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Right to dispose of the source code and code changes _______________ (</w:t>
      </w:r>
      <w:r>
        <w:rPr>
          <w:rFonts w:ascii="Arial" w:hAnsi="Arial" w:eastAsia="Times New Roman" w:cs="Arial"/>
          <w:b/>
          <w:bCs/>
          <w:sz w:val="20"/>
          <w:szCs w:val="20"/>
          <w:lang w:val="en-GB"/>
        </w:rPr>
        <w:t xml:space="preserve">delete if the Client </w:t>
      </w:r>
      <w:r>
        <w:rPr>
          <w:rFonts w:ascii="Arial" w:hAnsi="Arial" w:eastAsia="Times New Roman" w:cs="Arial"/>
          <w:bCs/>
          <w:sz w:val="20"/>
          <w:szCs w:val="20"/>
          <w:lang w:val="en-GB"/>
        </w:rPr>
        <w:t xml:space="preserve">does not acquire the right to dispose of the source code)</w:t>
      </w:r>
      <w:r>
        <w:rPr>
          <w:rFonts w:ascii="Arial" w:hAnsi="Arial" w:eastAsia="Times New Roman" w:cs="Arial"/>
          <w:bCs/>
          <w:sz w:val="20"/>
          <w:szCs w:val="20"/>
          <w:lang w:val="en-GB"/>
        </w:rPr>
      </w:r>
    </w:p>
    <w:p>
      <w:pPr>
        <w:numPr>
          <w:ilvl w:val="0"/>
          <w:numId w:val="5"/>
        </w:numPr>
        <w:pBdr/>
        <w:spacing w:after="0" w:line="240" w:lineRule="auto"/>
        <w:ind w:firstLine="0" w:left="284"/>
        <w:contextualSpacing w:val="true"/>
        <w:jc w:val="both"/>
        <w:rPr>
          <w:rFonts w:ascii="Arial" w:hAnsi="Arial" w:eastAsia="Times New Roman" w:cs="Arial"/>
          <w:b/>
          <w:bCs/>
          <w:sz w:val="20"/>
          <w:szCs w:val="20"/>
          <w:lang w:val="en-GB"/>
        </w:rPr>
      </w:pPr>
      <w:r>
        <w:rPr>
          <w:rFonts w:ascii="Arial" w:hAnsi="Arial" w:eastAsia="Times New Roman" w:cs="Arial"/>
          <w:bCs/>
          <w:sz w:val="20"/>
          <w:szCs w:val="20"/>
          <w:lang w:val="en-GB"/>
        </w:rPr>
        <w:t xml:space="preserve">Specify  other contractual rights in accordance with the nature of the Service</w:t>
      </w:r>
      <w:r>
        <w:rPr>
          <w:rFonts w:ascii="Arial" w:hAnsi="Arial" w:eastAsia="Times New Roman" w:cs="Arial"/>
          <w:b/>
          <w:bCs/>
          <w:sz w:val="20"/>
          <w:szCs w:val="20"/>
          <w:lang w:val="en-GB"/>
        </w:rPr>
      </w:r>
    </w:p>
    <w:p>
      <w:pPr>
        <w:pBdr/>
        <w:spacing w:after="0" w:line="240" w:lineRule="auto"/>
        <w:ind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14. TERMINATION</w:t>
      </w:r>
      <w:r>
        <w:rPr>
          <w:rFonts w:ascii="Arial" w:hAnsi="Arial" w:eastAsia="Times New Roman" w:cs="Arial"/>
          <w:b/>
          <w:bCs/>
          <w:sz w:val="20"/>
          <w:szCs w:val="20"/>
          <w:lang w:val="en-GB"/>
        </w:rPr>
      </w:r>
    </w:p>
    <w:p>
      <w:pPr>
        <w:pBdr/>
        <w:spacing w:after="0" w:line="240" w:lineRule="auto"/>
        <w:ind w:right="270"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[Describe activities, roles and responsibilities of the Contractor and the Client in case of Contract termination and/ or assignment of services to a successor – new contractor.]</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15. OUTPUT STRATEGY</w:t>
      </w:r>
      <w:r>
        <w:rPr>
          <w:rFonts w:ascii="Arial" w:hAnsi="Arial" w:eastAsia="Times New Roman" w:cs="Arial"/>
          <w:b/>
          <w:bCs/>
          <w:sz w:val="20"/>
          <w:szCs w:val="20"/>
          <w:lang w:val="en-GB"/>
        </w:rPr>
      </w:r>
    </w:p>
    <w:p>
      <w:pPr>
        <w:pBdr/>
        <w:spacing w:after="0" w:line="240" w:lineRule="auto"/>
        <w:ind w:right="-143" w:left="284"/>
        <w:contextualSpacing w:val="true"/>
        <w:jc w:val="both"/>
        <w:rPr>
          <w:rFonts w:ascii="Arial" w:hAnsi="Arial" w:eastAsia="Times New Roman" w:cs="Arial"/>
          <w:bCs/>
          <w:i/>
          <w:sz w:val="20"/>
          <w:szCs w:val="20"/>
          <w:lang w:val="en-GB"/>
        </w:rPr>
      </w:pPr>
      <w:r>
        <w:rPr>
          <w:rFonts w:ascii="Arial" w:hAnsi="Arial" w:eastAsia="Times New Roman" w:cs="Arial"/>
          <w:bCs/>
          <w:i/>
          <w:sz w:val="20"/>
          <w:szCs w:val="20"/>
          <w:lang w:val="en-GB"/>
        </w:rPr>
        <w:t xml:space="preserve">[Describe activities, roles and responsibilities of the Contractor and Client in case of Contract termination]</w:t>
      </w:r>
      <w:r>
        <w:rPr>
          <w:rFonts w:ascii="Arial" w:hAnsi="Arial" w:eastAsia="Times New Roman" w:cs="Arial"/>
          <w:bCs/>
          <w:i/>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r>
      <w:r>
        <w:rPr>
          <w:rFonts w:ascii="Arial" w:hAnsi="Arial" w:eastAsia="Times New Roman" w:cs="Arial"/>
          <w:b/>
          <w:bCs/>
          <w:sz w:val="20"/>
          <w:szCs w:val="20"/>
          <w:lang w:val="en-GB"/>
        </w:rPr>
      </w:r>
    </w:p>
    <w:p>
      <w:pPr>
        <w:pBdr/>
        <w:spacing w:after="0" w:line="240" w:lineRule="auto"/>
        <w:ind w:right="-143" w:left="284"/>
        <w:jc w:val="both"/>
        <w:rPr>
          <w:rFonts w:ascii="Arial" w:hAnsi="Arial" w:eastAsia="Times New Roman" w:cs="Arial"/>
          <w:b/>
          <w:bCs/>
          <w:sz w:val="20"/>
          <w:szCs w:val="20"/>
          <w:lang w:val="en-GB"/>
        </w:rPr>
      </w:pPr>
      <w:r>
        <w:rPr>
          <w:rFonts w:ascii="Arial" w:hAnsi="Arial" w:eastAsia="Times New Roman" w:cs="Arial"/>
          <w:b/>
          <w:bCs/>
          <w:sz w:val="20"/>
          <w:szCs w:val="20"/>
          <w:lang w:val="en-GB"/>
        </w:rPr>
        <w:t xml:space="preserve">16. MISCELLANEOUS</w:t>
      </w:r>
      <w:r>
        <w:rPr>
          <w:rFonts w:ascii="Arial" w:hAnsi="Arial" w:eastAsia="Times New Roman" w:cs="Arial"/>
          <w:b/>
          <w:bCs/>
          <w:sz w:val="20"/>
          <w:szCs w:val="20"/>
          <w:lang w:val="en-GB"/>
        </w:rPr>
      </w:r>
    </w:p>
    <w:p>
      <w:pPr>
        <w:pBdr/>
        <w:tabs>
          <w:tab w:val="left" w:leader="none" w:pos="851"/>
        </w:tabs>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The Contract </w:t>
      </w:r>
      <w:r>
        <w:rPr>
          <w:rFonts w:ascii="Arial" w:hAnsi="Arial" w:eastAsia="Times New Roman" w:cs="Arial"/>
          <w:bCs/>
          <w:sz w:val="20"/>
          <w:szCs w:val="20"/>
          <w:lang w:val="en-GB"/>
        </w:rPr>
        <w:t xml:space="preserve">and Technical Assignment </w:t>
      </w:r>
      <w:r>
        <w:rPr>
          <w:rFonts w:ascii="Arial" w:hAnsi="Arial" w:eastAsia="Times New Roman" w:cs="Arial"/>
          <w:bCs/>
          <w:sz w:val="20"/>
          <w:szCs w:val="20"/>
          <w:lang w:val="en-GB"/>
        </w:rPr>
        <w:t xml:space="preserve">provisions shall apply to all other matters that are not regulated by this Appendix.</w:t>
      </w:r>
      <w:r>
        <w:rPr>
          <w:rFonts w:ascii="Arial" w:hAnsi="Arial" w:eastAsia="Times New Roman" w:cs="Arial"/>
          <w:bCs/>
          <w:sz w:val="20"/>
          <w:szCs w:val="20"/>
          <w:lang w:val="en-GB"/>
        </w:rPr>
      </w:r>
    </w:p>
    <w:p>
      <w:pPr>
        <w:pBdr/>
        <w:tabs>
          <w:tab w:val="left" w:leader="none" w:pos="851"/>
        </w:tabs>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r>
      <w:r>
        <w:rPr>
          <w:rFonts w:ascii="Arial" w:hAnsi="Arial" w:eastAsia="Times New Roman" w:cs="Arial"/>
          <w:bCs/>
          <w:sz w:val="20"/>
          <w:szCs w:val="20"/>
          <w:lang w:val="en-GB"/>
        </w:rPr>
      </w:r>
    </w:p>
    <w:p>
      <w:pPr>
        <w:pBdr/>
        <w:tabs>
          <w:tab w:val="left" w:leader="none" w:pos="851"/>
        </w:tabs>
        <w:spacing w:after="0" w:line="240" w:lineRule="auto"/>
        <w:ind w:right="-143" w:left="284"/>
        <w:jc w:val="both"/>
        <w:rPr>
          <w:rFonts w:ascii="Arial" w:hAnsi="Arial" w:eastAsia="Times New Roman" w:cs="Arial"/>
          <w:bCs/>
          <w:sz w:val="20"/>
          <w:szCs w:val="20"/>
          <w:lang w:val="en-GB"/>
        </w:rPr>
      </w:pPr>
      <w:r>
        <w:rPr>
          <w:rFonts w:ascii="Arial" w:hAnsi="Arial" w:eastAsia="Times New Roman" w:cs="Arial"/>
          <w:bCs/>
          <w:sz w:val="20"/>
          <w:szCs w:val="20"/>
          <w:lang w:val="en-GB"/>
        </w:rPr>
        <w:t xml:space="preserve">This Appendix is made in two copies, one copy for each party. Both copies have the same legal effect. </w:t>
      </w:r>
      <w:r>
        <w:rPr>
          <w:rFonts w:ascii="Arial" w:hAnsi="Arial" w:eastAsia="Times New Roman" w:cs="Arial"/>
          <w:bCs/>
          <w:sz w:val="20"/>
          <w:szCs w:val="20"/>
          <w:lang w:val="en-GB"/>
        </w:rPr>
      </w:r>
    </w:p>
    <w:p>
      <w:pPr>
        <w:pBdr/>
        <w:tabs>
          <w:tab w:val="left" w:leader="none" w:pos="851"/>
        </w:tabs>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p>
      <w:pPr>
        <w:pBdr/>
        <w:tabs>
          <w:tab w:val="left" w:leader="none" w:pos="851"/>
        </w:tabs>
        <w:spacing w:after="0" w:line="240" w:lineRule="auto"/>
        <w:ind w:right="-143" w:left="284"/>
        <w:jc w:val="both"/>
        <w:rPr>
          <w:rFonts w:ascii="Arial" w:hAnsi="Arial" w:eastAsia="Times New Roman" w:cs="Arial"/>
          <w:sz w:val="20"/>
          <w:szCs w:val="20"/>
          <w:lang w:val="en-GB"/>
        </w:rPr>
      </w:pPr>
      <w:r/>
      <w:bookmarkStart w:id="0" w:name="_GoBack"/>
      <w:r/>
      <w:bookmarkEnd w:id="0"/>
      <w:r/>
      <w:r>
        <w:rPr>
          <w:rFonts w:ascii="Arial" w:hAnsi="Arial" w:eastAsia="Times New Roman" w:cs="Arial"/>
          <w:sz w:val="20"/>
          <w:szCs w:val="20"/>
          <w:lang w:val="en-GB"/>
        </w:rPr>
      </w:r>
    </w:p>
    <w:p>
      <w:pPr>
        <w:pBdr/>
        <w:tabs>
          <w:tab w:val="left" w:leader="none" w:pos="851"/>
        </w:tabs>
        <w:spacing w:after="0" w:line="240" w:lineRule="auto"/>
        <w:ind w:right="-143" w:left="284"/>
        <w:jc w:val="both"/>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t xml:space="preserve">PARTIES’ SIGNATURES:</w:t>
      </w:r>
      <w:r>
        <w:rPr>
          <w:rFonts w:ascii="Arial" w:hAnsi="Arial" w:eastAsia="Times New Roman" w:cs="Arial"/>
          <w:b/>
          <w:sz w:val="20"/>
          <w:szCs w:val="20"/>
          <w:lang w:val="en-GB"/>
        </w:rPr>
      </w:r>
    </w:p>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r>
      <w:r>
        <w:rPr>
          <w:rFonts w:ascii="Arial" w:hAnsi="Arial" w:eastAsia="Times New Roman" w:cs="Arial"/>
          <w:b/>
          <w:sz w:val="20"/>
          <w:szCs w:val="20"/>
          <w:lang w:val="en-GB"/>
        </w:rPr>
      </w:r>
    </w:p>
    <w:p>
      <w:pPr>
        <w:pBdr/>
        <w:spacing w:after="0" w:line="240" w:lineRule="auto"/>
        <w:ind w:right="-143" w:left="284"/>
        <w:jc w:val="center"/>
        <w:rPr>
          <w:rFonts w:ascii="Arial" w:hAnsi="Arial" w:eastAsia="Times New Roman" w:cs="Arial"/>
          <w:b/>
          <w:sz w:val="20"/>
          <w:szCs w:val="20"/>
          <w:lang w:val="en-GB"/>
        </w:rPr>
      </w:pPr>
      <w:r>
        <w:rPr>
          <w:rFonts w:ascii="Arial" w:hAnsi="Arial" w:eastAsia="Times New Roman" w:cs="Arial"/>
          <w:b/>
          <w:sz w:val="20"/>
          <w:szCs w:val="20"/>
          <w:lang w:val="en-GB"/>
        </w:rPr>
      </w:r>
      <w:r>
        <w:rPr>
          <w:rFonts w:ascii="Arial" w:hAnsi="Arial" w:eastAsia="Times New Roman" w:cs="Arial"/>
          <w:b/>
          <w:sz w:val="20"/>
          <w:szCs w:val="20"/>
          <w:lang w:val="en-GB"/>
        </w:rPr>
      </w:r>
    </w:p>
    <w:tbl>
      <w:tblPr>
        <w:tblW w:w="0" w:type="auto"/>
        <w:tblBorders/>
        <w:tblLook w:val="01E0" w:firstRow="1" w:lastRow="1" w:firstColumn="1" w:lastColumn="1" w:noHBand="0" w:noVBand="0"/>
      </w:tblPr>
      <w:tblGrid>
        <w:gridCol w:w="7676"/>
        <w:gridCol w:w="7677"/>
      </w:tblGrid>
      <w:tr>
        <w:trPr/>
        <w:tc>
          <w:tcPr>
            <w:tcBorders/>
            <w:tcW w:w="7676" w:type="dxa"/>
            <w:textDirection w:val="lrTb"/>
            <w:noWrap w:val="false"/>
          </w:tcPr>
          <w:p>
            <w:pPr>
              <w:pBdr/>
              <w:spacing w:after="0" w:line="240" w:lineRule="auto"/>
              <w:ind w:right="-143" w:left="284"/>
              <w:jc w:val="center"/>
              <w:rPr>
                <w:rFonts w:ascii="Arial" w:hAnsi="Arial" w:eastAsia="Times New Roman" w:cs="Arial"/>
                <w:bCs/>
                <w:sz w:val="20"/>
                <w:szCs w:val="20"/>
                <w:lang w:val="en-GB"/>
              </w:rPr>
            </w:pPr>
            <w:r>
              <w:rPr>
                <w:rFonts w:ascii="Arial" w:hAnsi="Arial" w:eastAsia="Times New Roman" w:cs="Arial"/>
                <w:bCs/>
                <w:sz w:val="20"/>
                <w:szCs w:val="20"/>
                <w:lang w:val="en-GB"/>
              </w:rPr>
              <w:t xml:space="preserve">For CLIENT</w:t>
            </w:r>
            <w:r>
              <w:rPr>
                <w:rFonts w:ascii="Arial" w:hAnsi="Arial" w:eastAsia="Times New Roman" w:cs="Arial"/>
                <w:bCs/>
                <w:sz w:val="20"/>
                <w:szCs w:val="20"/>
                <w:lang w:val="en-GB"/>
              </w:rPr>
            </w:r>
          </w:p>
          <w:p>
            <w:pPr>
              <w:pBdr/>
              <w:spacing w:after="0" w:line="240" w:lineRule="auto"/>
              <w:ind w:right="-143" w:left="284"/>
              <w:jc w:val="center"/>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7677" w:type="dxa"/>
            <w:textDirection w:val="lrTb"/>
            <w:noWrap w:val="false"/>
          </w:tcPr>
          <w:p>
            <w:pPr>
              <w:pBdr/>
              <w:spacing w:after="0" w:line="240" w:lineRule="auto"/>
              <w:ind w:right="-143" w:left="284"/>
              <w:jc w:val="center"/>
              <w:rPr>
                <w:rFonts w:ascii="Arial" w:hAnsi="Arial" w:eastAsia="Times New Roman" w:cs="Arial"/>
                <w:sz w:val="20"/>
                <w:szCs w:val="20"/>
                <w:lang w:val="en-GB"/>
              </w:rPr>
            </w:pPr>
            <w:r>
              <w:rPr>
                <w:rFonts w:ascii="Arial" w:hAnsi="Arial" w:eastAsia="Times New Roman" w:cs="Arial"/>
                <w:bCs/>
                <w:sz w:val="20"/>
                <w:szCs w:val="20"/>
                <w:lang w:val="en-GB"/>
              </w:rPr>
              <w:t xml:space="preserve">For CONTRACTOR</w:t>
            </w:r>
            <w:r>
              <w:rPr>
                <w:rFonts w:ascii="Arial" w:hAnsi="Arial" w:eastAsia="Times New Roman" w:cs="Arial"/>
                <w:sz w:val="20"/>
                <w:szCs w:val="20"/>
                <w:lang w:val="en-GB"/>
              </w:rPr>
            </w:r>
          </w:p>
        </w:tc>
      </w:tr>
      <w:tr>
        <w:trPr/>
        <w:tc>
          <w:tcPr>
            <w:tcBorders/>
            <w:tcW w:w="7676" w:type="dxa"/>
            <w:textDirection w:val="lrTb"/>
            <w:noWrap w:val="false"/>
          </w:tcPr>
          <w:p>
            <w:pPr>
              <w:pBdr/>
              <w:spacing w:after="0" w:line="240" w:lineRule="auto"/>
              <w:ind w:right="-143" w:left="284"/>
              <w:jc w:val="center"/>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c>
          <w:tcPr>
            <w:tcBorders/>
            <w:tcW w:w="7677" w:type="dxa"/>
            <w:textDirection w:val="lrTb"/>
            <w:noWrap w:val="false"/>
          </w:tcPr>
          <w:p>
            <w:pPr>
              <w:pBdr/>
              <w:spacing w:after="0" w:line="240" w:lineRule="auto"/>
              <w:ind w:right="-143" w:left="284"/>
              <w:jc w:val="center"/>
              <w:rPr>
                <w:rFonts w:ascii="Arial" w:hAnsi="Arial" w:eastAsia="Times New Roman" w:cs="Arial"/>
                <w:sz w:val="20"/>
                <w:szCs w:val="20"/>
                <w:lang w:val="en-GB"/>
              </w:rPr>
            </w:pPr>
            <w:r>
              <w:rPr>
                <w:rFonts w:ascii="Arial" w:hAnsi="Arial" w:eastAsia="Times New Roman" w:cs="Arial"/>
                <w:sz w:val="20"/>
                <w:szCs w:val="20"/>
                <w:lang w:val="en-GB"/>
              </w:rPr>
            </w:r>
            <w:r>
              <w:rPr>
                <w:rFonts w:ascii="Arial" w:hAnsi="Arial" w:eastAsia="Times New Roman" w:cs="Arial"/>
                <w:sz w:val="20"/>
                <w:szCs w:val="20"/>
                <w:lang w:val="en-GB"/>
              </w:rPr>
            </w:r>
          </w:p>
        </w:tc>
      </w:tr>
      <w:tr>
        <w:trPr/>
        <w:tc>
          <w:tcPr>
            <w:tcBorders/>
            <w:tcW w:w="7676" w:type="dxa"/>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cs="Arial"/>
                <w:sz w:val="20"/>
                <w:szCs w:val="20"/>
                <w:lang w:val="sr-Cyrl-RS"/>
              </w:rPr>
              <w:t xml:space="preserve">${</w:t>
            </w:r>
            <w:r>
              <w:rPr>
                <w:rFonts w:ascii="Arial" w:hAnsi="Arial" w:cs="Arial"/>
                <w:sz w:val="20"/>
                <w:szCs w:val="20"/>
                <w:lang w:val="sr-Cyrl-RS"/>
              </w:rPr>
              <w:t xml:space="preserve">potpisnik_nis_sve</w:t>
            </w:r>
            <w:r>
              <w:rPr>
                <w:rFonts w:ascii="Arial" w:hAnsi="Arial" w:cs="Arial"/>
                <w:sz w:val="20"/>
                <w:szCs w:val="20"/>
                <w:lang w:val="sr-Cyrl-RS"/>
              </w:rPr>
              <w:t xml:space="preserve">}</w:t>
            </w:r>
            <w:r>
              <w:rPr>
                <w:rFonts w:ascii="Arial" w:hAnsi="Arial" w:eastAsia="Times New Roman" w:cs="Arial"/>
                <w:b/>
                <w:sz w:val="20"/>
                <w:szCs w:val="20"/>
                <w:lang w:val="en-GB"/>
              </w:rPr>
            </w:r>
          </w:p>
        </w:tc>
        <w:tc>
          <w:tcPr>
            <w:tcBorders/>
            <w:tcW w:w="7677" w:type="dxa"/>
            <w:textDirection w:val="lrTb"/>
            <w:noWrap w:val="false"/>
          </w:tcPr>
          <w:p>
            <w:pPr>
              <w:pBdr/>
              <w:spacing w:after="0" w:line="240" w:lineRule="auto"/>
              <w:ind w:right="-143" w:left="284"/>
              <w:jc w:val="center"/>
              <w:rPr>
                <w:rFonts w:ascii="Arial" w:hAnsi="Arial" w:eastAsia="Times New Roman" w:cs="Arial"/>
                <w:b/>
                <w:sz w:val="20"/>
                <w:szCs w:val="20"/>
                <w:lang w:val="en-GB"/>
              </w:rPr>
            </w:pPr>
            <w:r>
              <w:rPr>
                <w:rFonts w:ascii="Arial" w:hAnsi="Arial" w:cs="Arial"/>
                <w:sz w:val="20"/>
                <w:szCs w:val="20"/>
                <w:lang w:val="sr-Cyrl-RS"/>
              </w:rPr>
              <w:t xml:space="preserve">${</w:t>
            </w:r>
            <w:r>
              <w:rPr>
                <w:rFonts w:ascii="Arial" w:hAnsi="Arial" w:cs="Arial"/>
                <w:sz w:val="20"/>
                <w:szCs w:val="20"/>
                <w:lang w:val="sr-Cyrl-RS"/>
              </w:rPr>
              <w:t xml:space="preserve">potpisnik_komitent_sve</w:t>
            </w:r>
            <w:r>
              <w:rPr>
                <w:rFonts w:ascii="Arial" w:hAnsi="Arial" w:cs="Arial"/>
                <w:sz w:val="20"/>
                <w:szCs w:val="20"/>
                <w:lang w:val="sr-Cyrl-RS"/>
              </w:rPr>
              <w:t xml:space="preserve">}</w:t>
            </w:r>
            <w:r>
              <w:rPr>
                <w:rFonts w:ascii="Arial" w:hAnsi="Arial" w:eastAsia="Times New Roman" w:cs="Arial"/>
                <w:b/>
                <w:sz w:val="20"/>
                <w:szCs w:val="20"/>
                <w:lang w:val="en-GB"/>
              </w:rPr>
            </w:r>
          </w:p>
        </w:tc>
      </w:tr>
    </w:tbl>
    <w:p>
      <w:pPr>
        <w:pBdr/>
        <w:spacing w:after="0" w:line="240" w:lineRule="auto"/>
        <w:ind w:left="284"/>
        <w:jc w:val="center"/>
        <w:rPr>
          <w:rFonts w:ascii="Arial" w:hAnsi="Arial" w:eastAsia="Times New Roman" w:cs="Arial"/>
          <w:sz w:val="20"/>
          <w:szCs w:val="20"/>
          <w:lang w:val="en-GB"/>
        </w:rPr>
      </w:pPr>
      <w:r>
        <w:rPr>
          <w:rFonts w:ascii="Arial" w:hAnsi="Arial" w:eastAsia="Times New Roman" w:cs="Arial"/>
          <w:sz w:val="20"/>
          <w:szCs w:val="20"/>
          <w:lang w:val="en-GB"/>
        </w:rPr>
      </w:r>
      <w:permEnd w:id="949945618"/>
      <w:r>
        <w:rPr>
          <w:rFonts w:ascii="Arial" w:hAnsi="Arial" w:eastAsia="Times New Roman" w:cs="Arial"/>
          <w:sz w:val="20"/>
          <w:szCs w:val="20"/>
          <w:lang w:val="en-GB"/>
        </w:rPr>
      </w:r>
    </w:p>
    <w:p>
      <w:pPr>
        <w:pBdr/>
        <w:spacing w:after="0" w:line="240" w:lineRule="auto"/>
        <w:ind w:left="284"/>
        <w:jc w:val="center"/>
        <w:rPr>
          <w:rFonts w:ascii="Arial" w:hAnsi="Arial" w:eastAsia="Times New Roman" w:cs="Arial"/>
          <w:b/>
          <w:i/>
          <w:sz w:val="20"/>
          <w:szCs w:val="20"/>
          <w:lang w:val="en-GB"/>
        </w:rPr>
      </w:pPr>
      <w:r>
        <w:rPr>
          <w:rFonts w:ascii="Arial" w:hAnsi="Arial" w:eastAsia="Times New Roman" w:cs="Arial"/>
          <w:b/>
          <w:i/>
          <w:sz w:val="20"/>
          <w:szCs w:val="20"/>
          <w:lang w:val="en-GB"/>
        </w:rPr>
      </w:r>
      <w:r>
        <w:rPr>
          <w:rFonts w:ascii="Arial" w:hAnsi="Arial" w:eastAsia="Times New Roman" w:cs="Arial"/>
          <w:b/>
          <w:i/>
          <w:sz w:val="20"/>
          <w:szCs w:val="20"/>
          <w:lang w:val="en-GB"/>
        </w:rPr>
      </w:r>
    </w:p>
    <w:p>
      <w:pPr>
        <w:pBdr/>
        <w:spacing w:after="0" w:line="240" w:lineRule="auto"/>
        <w:ind w:left="284"/>
        <w:jc w:val="center"/>
        <w:rPr>
          <w:rFonts w:ascii="Times New Roman" w:hAnsi="Times New Roman" w:eastAsia="Times New Roman" w:cs="Times New Roman"/>
          <w:sz w:val="2"/>
          <w:szCs w:val="20"/>
          <w:lang w:val="en-GB"/>
        </w:rPr>
      </w:pPr>
      <w:r>
        <w:rPr>
          <w:rFonts w:ascii="Times New Roman" w:hAnsi="Times New Roman" w:eastAsia="Times New Roman" w:cs="Times New Roman"/>
          <w:sz w:val="2"/>
          <w:szCs w:val="20"/>
          <w:lang w:val="en-GB"/>
        </w:rPr>
      </w:r>
      <w:r>
        <w:rPr>
          <w:rFonts w:ascii="Times New Roman" w:hAnsi="Times New Roman" w:eastAsia="Times New Roman" w:cs="Times New Roman"/>
          <w:sz w:val="2"/>
          <w:szCs w:val="20"/>
          <w:lang w:val="en-GB"/>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1907" w:orient="landscape" w:w="16839"/>
      <w:pgMar w:top="1176" w:right="549" w:bottom="1418" w:left="720" w:header="426" w:footer="709" w:gutter="0"/>
      <w:pgNumType w:start="1"/>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20603050405090304"/>
  </w:font>
  <w:font w:name="Calibri">
    <w:panose1 w:val="020F0502020204030204"/>
  </w:font>
  <w:font w:name="Wingdings">
    <w:panose1 w:val="05010000000000000000"/>
  </w:font>
  <w:font w:name="Symbol">
    <w:panose1 w:val="05010000000000000000"/>
  </w:font>
  <w:font w:name="Times New Roman">
    <w:panose1 w:val="02020603050405020304"/>
  </w:font>
  <w:font w:name="Courier New">
    <w:panose1 w:val="02070309020205020404"/>
  </w:font>
  <w:font w:name="New York">
    <w:panose1 w:val="020B050204050402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111824965"/>
      <w:docPartObj>
        <w:docPartGallery w:val="Page Numbers (Bottom of Page)"/>
        <w:docPartUnique w:val="true"/>
      </w:docPartObj>
      <w:rPr>
        <w:rFonts w:ascii="Arial" w:hAnsi="Arial" w:cs="Arial"/>
      </w:rPr>
    </w:sdtPr>
    <w:sdtContent>
      <w:p>
        <w:pPr>
          <w:pStyle w:val="827"/>
          <w:pBdr/>
          <w:spacing/>
          <w:ind/>
          <w:rPr>
            <w:rFonts w:ascii="Arial" w:hAnsi="Arial" w:cs="Arial"/>
          </w:rPr>
        </w:pPr>
        <w:r>
          <w:t xml:space="preserve">TFU.NIS.457</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11</w:t>
        </w:r>
        <w:r>
          <w:rPr>
            <w:rFonts w:ascii="Arial" w:hAnsi="Arial" w:cs="Arial"/>
          </w:rPr>
          <w:fldChar w:fldCharType="end"/>
        </w:r>
        <w:r>
          <w:rPr>
            <w:rFonts w:ascii="Arial" w:hAnsi="Arial" w:cs="Arial"/>
          </w:rP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tabs>
        <w:tab w:val="left" w:leader="none" w:pos="13023"/>
      </w:tabs>
      <w:spacing/>
      <w:ind/>
      <w:rPr/>
    </w:pPr>
    <w:r>
      <w:rPr>
        <w:rFonts w:ascii="Arial" w:hAnsi="Arial" w:cs="Arial"/>
      </w:rPr>
      <w:t xml:space="preserve">SA-08.06.30-020, </w:t>
    </w:r>
    <w:r>
      <w:rPr>
        <w:rFonts w:ascii="Arial" w:hAnsi="Arial" w:cs="Arial"/>
      </w:rPr>
      <w:t xml:space="preserve">Version</w:t>
    </w:r>
    <w:r>
      <w:rPr>
        <w:rFonts w:ascii="Arial" w:hAnsi="Arial" w:cs="Arial"/>
      </w:rPr>
      <w:t xml:space="preserve"> </w:t>
    </w:r>
    <w:r>
      <w:rPr>
        <w:rFonts w:ascii="Arial" w:hAnsi="Arial" w:cs="Arial"/>
      </w:rPr>
      <w:t xml:space="preserve">02</w:t>
    </w:r>
    <w:r>
      <w:rPr>
        <w:rFonts w:ascii="Arial" w:hAnsi="Arial" w:cs="Arial"/>
      </w:rPr>
      <w:tab/>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tabs>
        <w:tab w:val="left" w:leader="none" w:pos="225"/>
        <w:tab w:val="left" w:leader="none" w:pos="915"/>
      </w:tabs>
      <w:spacing/>
      <w:ind/>
      <w:rPr>
        <w:rFonts w:cs="Arial" w:asciiTheme="majorHAnsi" w:hAnsiTheme="majorHAnsi"/>
      </w:rPr>
    </w:pPr>
    <w:r>
      <w:t xml:space="preserve">TFU.NIS.457</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 xml:space="preserve">                                                          </w:t>
    </w:r>
    <w:r>
      <w:rPr>
        <w:rFonts w:cs="Arial" w:asciiTheme="majorHAnsi" w:hAnsiTheme="majorHAnsi"/>
      </w:rPr>
      <w:t xml:space="preserve">1</w:t>
    </w:r>
    <w:r>
      <w:rPr>
        <w:rFonts w:cs="Arial" w:asciiTheme="majorHAnsi" w:hAnsiTheme="majorHAnsi"/>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5"/>
      <w:pBdr/>
      <w:tabs>
        <w:tab w:val="center" w:leader="none" w:pos="5670"/>
        <w:tab w:val="left" w:leader="none" w:pos="7187"/>
        <w:tab w:val="left" w:leader="none" w:pos="7463"/>
        <w:tab w:val="left" w:leader="none" w:pos="10080"/>
        <w:tab w:val="left" w:leader="none" w:pos="14560"/>
      </w:tabs>
      <w:spacing/>
      <w:ind/>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5"/>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5"/>
      <w:pBdr/>
      <w:tabs>
        <w:tab w:val="left" w:leader="none" w:pos="13023"/>
      </w:tabs>
      <w:spacing/>
      <w:ind/>
      <w:jc w:val="right"/>
      <w:rPr/>
    </w:pPr>
    <w:r>
      <w:rPr>
        <w:lang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0</wp:posOffset>
              </wp:positionH>
              <wp:positionV relativeFrom="page">
                <wp:posOffset>270510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21.30pt;mso-position-vertical:absolute;width:97.23pt;height:28.35pt;mso-wrap-distance-left:9.00pt;mso-wrap-distance-top:0.00pt;mso-wrap-distance-right:9.00pt;mso-wrap-distance-bottom:0.00pt;z-index:1;" stroked="f">
              <v:imagedata r:id="rId1" o:title=""/>
              <o:lock v:ext="edit" rotation="t"/>
            </v:shape>
          </w:pict>
        </mc:Fallback>
      </mc:AlternateContent>
    </w:r>
    <w:r>
      <w:tab/>
    </w:r>
    <w:r>
      <w:rPr>
        <w:rFonts w:ascii="Arial" w:hAnsi="Arial" w:eastAsia="Calibri" w:cs="Arial"/>
        <w:b/>
        <w:i/>
      </w:rPr>
      <w:t xml:space="preserve">Standard form</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705C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24F61FBC"/>
    <w:lvl w:ilvl="0">
      <w:isLgl w:val="false"/>
      <w:lvlJc w:val="left"/>
      <w:lvlText w:val="%1)"/>
      <w:numFmt w:val="decimal"/>
      <w:pPr>
        <w:pBdr/>
        <w:spacing/>
        <w:ind w:hanging="360" w:left="1080"/>
      </w:pPr>
      <w:rPr>
        <w:rFonts w:hint="default"/>
        <w:b/>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2">
    <w:nsid w:val="2EF0569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59EE39F0"/>
    <w:lvl w:ilvl="0">
      <w:isLgl w:val="false"/>
      <w:lvlJc w:val="left"/>
      <w:lvlText w:val="%1."/>
      <w:numFmt w:val="decimal"/>
      <w:pPr>
        <w:pBdr/>
        <w:spacing/>
        <w:ind w:hanging="360" w:left="360"/>
      </w:pPr>
      <w:rPr>
        <w:rFonts w:hint="default"/>
      </w:rPr>
      <w:start w:val="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4">
    <w:nsid w:val="66E3704E"/>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oBpDKgcqw83fdwBIJdVjXumT7y7Z4aqVijHwCjHgi6d+6szPST7IsAxOshgiW4SxTqRcW98EX1UlWx+isEkG+A==" w:salt="xjJyMEhMwHL6oUoTAiaKS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8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82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8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8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8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8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8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8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8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8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8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8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8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8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8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8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8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8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8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8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8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8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8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8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8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8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8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8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8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8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8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8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8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8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8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8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821"/>
    <w:next w:val="821"/>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821"/>
    <w:next w:val="821"/>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821"/>
    <w:next w:val="821"/>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821"/>
    <w:next w:val="821"/>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821"/>
    <w:next w:val="821"/>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821"/>
    <w:next w:val="821"/>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21"/>
    <w:next w:val="821"/>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821"/>
    <w:next w:val="821"/>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821"/>
    <w:next w:val="821"/>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822"/>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822"/>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822"/>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822"/>
    <w:link w:val="142"/>
    <w:uiPriority w:val="9"/>
    <w:pPr>
      <w:pBdr/>
      <w:spacing/>
      <w:ind/>
    </w:pPr>
    <w:rPr>
      <w:rFonts w:ascii="Arial" w:hAnsi="Arial" w:eastAsia="Arial" w:cs="Arial"/>
      <w:i/>
      <w:iCs/>
      <w:color w:val="0f4761" w:themeColor="accent1" w:themeShade="BF"/>
    </w:rPr>
  </w:style>
  <w:style w:type="character" w:styleId="154">
    <w:name w:val="Heading 5 Char"/>
    <w:basedOn w:val="822"/>
    <w:link w:val="143"/>
    <w:uiPriority w:val="9"/>
    <w:pPr>
      <w:pBdr/>
      <w:spacing/>
      <w:ind/>
    </w:pPr>
    <w:rPr>
      <w:rFonts w:ascii="Arial" w:hAnsi="Arial" w:eastAsia="Arial" w:cs="Arial"/>
      <w:color w:val="0f4761" w:themeColor="accent1" w:themeShade="BF"/>
    </w:rPr>
  </w:style>
  <w:style w:type="character" w:styleId="155">
    <w:name w:val="Heading 6 Char"/>
    <w:basedOn w:val="822"/>
    <w:link w:val="144"/>
    <w:uiPriority w:val="9"/>
    <w:pPr>
      <w:pBdr/>
      <w:spacing/>
      <w:ind/>
    </w:pPr>
    <w:rPr>
      <w:rFonts w:ascii="Arial" w:hAnsi="Arial" w:eastAsia="Arial" w:cs="Arial"/>
      <w:i/>
      <w:iCs/>
      <w:color w:val="595959" w:themeColor="text1" w:themeTint="A6"/>
    </w:rPr>
  </w:style>
  <w:style w:type="character" w:styleId="156">
    <w:name w:val="Heading 7 Char"/>
    <w:basedOn w:val="822"/>
    <w:link w:val="145"/>
    <w:uiPriority w:val="9"/>
    <w:pPr>
      <w:pBdr/>
      <w:spacing/>
      <w:ind/>
    </w:pPr>
    <w:rPr>
      <w:rFonts w:ascii="Arial" w:hAnsi="Arial" w:eastAsia="Arial" w:cs="Arial"/>
      <w:color w:val="595959" w:themeColor="text1" w:themeTint="A6"/>
    </w:rPr>
  </w:style>
  <w:style w:type="character" w:styleId="157">
    <w:name w:val="Heading 8 Char"/>
    <w:basedOn w:val="822"/>
    <w:link w:val="146"/>
    <w:uiPriority w:val="9"/>
    <w:pPr>
      <w:pBdr/>
      <w:spacing/>
      <w:ind/>
    </w:pPr>
    <w:rPr>
      <w:rFonts w:ascii="Arial" w:hAnsi="Arial" w:eastAsia="Arial" w:cs="Arial"/>
      <w:i/>
      <w:iCs/>
      <w:color w:val="272727" w:themeColor="text1" w:themeTint="D8"/>
    </w:rPr>
  </w:style>
  <w:style w:type="character" w:styleId="158">
    <w:name w:val="Heading 9 Char"/>
    <w:basedOn w:val="822"/>
    <w:link w:val="147"/>
    <w:uiPriority w:val="9"/>
    <w:pPr>
      <w:pBdr/>
      <w:spacing/>
      <w:ind/>
    </w:pPr>
    <w:rPr>
      <w:rFonts w:ascii="Arial" w:hAnsi="Arial" w:eastAsia="Arial" w:cs="Arial"/>
      <w:i/>
      <w:iCs/>
      <w:color w:val="272727" w:themeColor="text1" w:themeTint="D8"/>
    </w:rPr>
  </w:style>
  <w:style w:type="paragraph" w:styleId="159">
    <w:name w:val="Title"/>
    <w:basedOn w:val="821"/>
    <w:next w:val="821"/>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822"/>
    <w:link w:val="159"/>
    <w:uiPriority w:val="10"/>
    <w:pPr>
      <w:pBdr/>
      <w:spacing/>
      <w:ind/>
    </w:pPr>
    <w:rPr>
      <w:rFonts w:ascii="Arial" w:hAnsi="Arial" w:eastAsia="Arial" w:cs="Arial"/>
      <w:spacing w:val="-10"/>
      <w:sz w:val="56"/>
      <w:szCs w:val="56"/>
    </w:rPr>
  </w:style>
  <w:style w:type="paragraph" w:styleId="161">
    <w:name w:val="Subtitle"/>
    <w:basedOn w:val="821"/>
    <w:next w:val="821"/>
    <w:link w:val="162"/>
    <w:uiPriority w:val="11"/>
    <w:qFormat/>
    <w:pPr>
      <w:numPr>
        <w:ilvl w:val="1"/>
      </w:numPr>
      <w:pBdr/>
      <w:spacing/>
      <w:ind/>
    </w:pPr>
    <w:rPr>
      <w:color w:val="595959" w:themeColor="text1" w:themeTint="A6"/>
      <w:spacing w:val="15"/>
      <w:sz w:val="28"/>
      <w:szCs w:val="28"/>
    </w:rPr>
  </w:style>
  <w:style w:type="character" w:styleId="162">
    <w:name w:val="Subtitle Char"/>
    <w:basedOn w:val="822"/>
    <w:link w:val="161"/>
    <w:uiPriority w:val="11"/>
    <w:pPr>
      <w:pBdr/>
      <w:spacing/>
      <w:ind/>
    </w:pPr>
    <w:rPr>
      <w:color w:val="595959" w:themeColor="text1" w:themeTint="A6"/>
      <w:spacing w:val="15"/>
      <w:sz w:val="28"/>
      <w:szCs w:val="28"/>
    </w:rPr>
  </w:style>
  <w:style w:type="paragraph" w:styleId="163">
    <w:name w:val="Quote"/>
    <w:basedOn w:val="821"/>
    <w:next w:val="821"/>
    <w:link w:val="164"/>
    <w:uiPriority w:val="29"/>
    <w:qFormat/>
    <w:pPr>
      <w:pBdr/>
      <w:spacing w:before="160"/>
      <w:ind/>
      <w:jc w:val="center"/>
    </w:pPr>
    <w:rPr>
      <w:i/>
      <w:iCs/>
      <w:color w:val="404040" w:themeColor="text1" w:themeTint="BF"/>
    </w:rPr>
  </w:style>
  <w:style w:type="character" w:styleId="164">
    <w:name w:val="Quote Char"/>
    <w:basedOn w:val="822"/>
    <w:link w:val="163"/>
    <w:uiPriority w:val="29"/>
    <w:pPr>
      <w:pBdr/>
      <w:spacing/>
      <w:ind/>
    </w:pPr>
    <w:rPr>
      <w:i/>
      <w:iCs/>
      <w:color w:val="404040" w:themeColor="text1" w:themeTint="BF"/>
    </w:rPr>
  </w:style>
  <w:style w:type="paragraph" w:styleId="165">
    <w:name w:val="List Paragraph"/>
    <w:basedOn w:val="821"/>
    <w:uiPriority w:val="34"/>
    <w:qFormat/>
    <w:pPr>
      <w:pBdr/>
      <w:spacing/>
      <w:ind w:left="720"/>
      <w:contextualSpacing w:val="true"/>
    </w:pPr>
  </w:style>
  <w:style w:type="character" w:styleId="166">
    <w:name w:val="Intense Emphasis"/>
    <w:basedOn w:val="822"/>
    <w:uiPriority w:val="21"/>
    <w:qFormat/>
    <w:pPr>
      <w:pBdr/>
      <w:spacing/>
      <w:ind/>
    </w:pPr>
    <w:rPr>
      <w:i/>
      <w:iCs/>
      <w:color w:val="0f4761" w:themeColor="accent1" w:themeShade="BF"/>
    </w:rPr>
  </w:style>
  <w:style w:type="paragraph" w:styleId="167">
    <w:name w:val="Intense Quote"/>
    <w:basedOn w:val="821"/>
    <w:next w:val="821"/>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822"/>
    <w:link w:val="167"/>
    <w:uiPriority w:val="30"/>
    <w:pPr>
      <w:pBdr/>
      <w:spacing/>
      <w:ind/>
    </w:pPr>
    <w:rPr>
      <w:i/>
      <w:iCs/>
      <w:color w:val="0f4761" w:themeColor="accent1" w:themeShade="BF"/>
    </w:rPr>
  </w:style>
  <w:style w:type="character" w:styleId="169">
    <w:name w:val="Intense Reference"/>
    <w:basedOn w:val="822"/>
    <w:uiPriority w:val="32"/>
    <w:qFormat/>
    <w:pPr>
      <w:pBdr/>
      <w:spacing/>
      <w:ind/>
    </w:pPr>
    <w:rPr>
      <w:b/>
      <w:bCs/>
      <w:smallCaps/>
      <w:color w:val="0f4761" w:themeColor="accent1" w:themeShade="BF"/>
      <w:spacing w:val="5"/>
    </w:rPr>
  </w:style>
  <w:style w:type="paragraph" w:styleId="170">
    <w:name w:val="No Spacing"/>
    <w:basedOn w:val="821"/>
    <w:uiPriority w:val="1"/>
    <w:qFormat/>
    <w:pPr>
      <w:pBdr/>
      <w:spacing w:after="0" w:line="240" w:lineRule="auto"/>
      <w:ind/>
    </w:pPr>
  </w:style>
  <w:style w:type="character" w:styleId="171">
    <w:name w:val="Subtle Emphasis"/>
    <w:basedOn w:val="822"/>
    <w:uiPriority w:val="19"/>
    <w:qFormat/>
    <w:pPr>
      <w:pBdr/>
      <w:spacing/>
      <w:ind/>
    </w:pPr>
    <w:rPr>
      <w:i/>
      <w:iCs/>
      <w:color w:val="404040" w:themeColor="text1" w:themeTint="BF"/>
    </w:rPr>
  </w:style>
  <w:style w:type="character" w:styleId="172">
    <w:name w:val="Emphasis"/>
    <w:basedOn w:val="822"/>
    <w:uiPriority w:val="20"/>
    <w:qFormat/>
    <w:pPr>
      <w:pBdr/>
      <w:spacing/>
      <w:ind/>
    </w:pPr>
    <w:rPr>
      <w:i/>
      <w:iCs/>
    </w:rPr>
  </w:style>
  <w:style w:type="character" w:styleId="173">
    <w:name w:val="Strong"/>
    <w:basedOn w:val="822"/>
    <w:uiPriority w:val="22"/>
    <w:qFormat/>
    <w:pPr>
      <w:pBdr/>
      <w:spacing/>
      <w:ind/>
    </w:pPr>
    <w:rPr>
      <w:b/>
      <w:bCs/>
    </w:rPr>
  </w:style>
  <w:style w:type="character" w:styleId="174">
    <w:name w:val="Subtle Reference"/>
    <w:basedOn w:val="822"/>
    <w:uiPriority w:val="31"/>
    <w:qFormat/>
    <w:pPr>
      <w:pBdr/>
      <w:spacing/>
      <w:ind/>
    </w:pPr>
    <w:rPr>
      <w:smallCaps/>
      <w:color w:val="5a5a5a" w:themeColor="text1" w:themeTint="A5"/>
    </w:rPr>
  </w:style>
  <w:style w:type="character" w:styleId="175">
    <w:name w:val="Book Title"/>
    <w:basedOn w:val="822"/>
    <w:uiPriority w:val="33"/>
    <w:qFormat/>
    <w:pPr>
      <w:pBdr/>
      <w:spacing/>
      <w:ind/>
    </w:pPr>
    <w:rPr>
      <w:b/>
      <w:bCs/>
      <w:i/>
      <w:iCs/>
      <w:spacing w:val="5"/>
    </w:rPr>
  </w:style>
  <w:style w:type="paragraph" w:styleId="180">
    <w:name w:val="Caption"/>
    <w:basedOn w:val="821"/>
    <w:next w:val="821"/>
    <w:uiPriority w:val="35"/>
    <w:unhideWhenUsed/>
    <w:qFormat/>
    <w:pPr>
      <w:pBdr/>
      <w:spacing w:after="200" w:line="240" w:lineRule="auto"/>
      <w:ind/>
    </w:pPr>
    <w:rPr>
      <w:i/>
      <w:iCs/>
      <w:color w:val="0e2841" w:themeColor="text2"/>
      <w:sz w:val="18"/>
      <w:szCs w:val="18"/>
    </w:rPr>
  </w:style>
  <w:style w:type="paragraph" w:styleId="181">
    <w:name w:val="footnote text"/>
    <w:basedOn w:val="821"/>
    <w:link w:val="182"/>
    <w:uiPriority w:val="99"/>
    <w:semiHidden/>
    <w:unhideWhenUsed/>
    <w:pPr>
      <w:pBdr/>
      <w:spacing w:after="0" w:line="240" w:lineRule="auto"/>
      <w:ind/>
    </w:pPr>
    <w:rPr>
      <w:sz w:val="20"/>
      <w:szCs w:val="20"/>
    </w:rPr>
  </w:style>
  <w:style w:type="character" w:styleId="182">
    <w:name w:val="Footnote Text Char"/>
    <w:basedOn w:val="822"/>
    <w:link w:val="181"/>
    <w:uiPriority w:val="99"/>
    <w:semiHidden/>
    <w:pPr>
      <w:pBdr/>
      <w:spacing/>
      <w:ind/>
    </w:pPr>
    <w:rPr>
      <w:sz w:val="20"/>
      <w:szCs w:val="20"/>
    </w:rPr>
  </w:style>
  <w:style w:type="character" w:styleId="183">
    <w:name w:val="footnote reference"/>
    <w:basedOn w:val="822"/>
    <w:uiPriority w:val="99"/>
    <w:semiHidden/>
    <w:unhideWhenUsed/>
    <w:pPr>
      <w:pBdr/>
      <w:spacing/>
      <w:ind/>
    </w:pPr>
    <w:rPr>
      <w:vertAlign w:val="superscript"/>
    </w:rPr>
  </w:style>
  <w:style w:type="paragraph" w:styleId="184">
    <w:name w:val="endnote text"/>
    <w:basedOn w:val="821"/>
    <w:link w:val="185"/>
    <w:uiPriority w:val="99"/>
    <w:semiHidden/>
    <w:unhideWhenUsed/>
    <w:pPr>
      <w:pBdr/>
      <w:spacing w:after="0" w:line="240" w:lineRule="auto"/>
      <w:ind/>
    </w:pPr>
    <w:rPr>
      <w:sz w:val="20"/>
      <w:szCs w:val="20"/>
    </w:rPr>
  </w:style>
  <w:style w:type="character" w:styleId="185">
    <w:name w:val="Endnote Text Char"/>
    <w:basedOn w:val="822"/>
    <w:link w:val="184"/>
    <w:uiPriority w:val="99"/>
    <w:semiHidden/>
    <w:pPr>
      <w:pBdr/>
      <w:spacing/>
      <w:ind/>
    </w:pPr>
    <w:rPr>
      <w:sz w:val="20"/>
      <w:szCs w:val="20"/>
    </w:rPr>
  </w:style>
  <w:style w:type="character" w:styleId="186">
    <w:name w:val="endnote reference"/>
    <w:basedOn w:val="822"/>
    <w:uiPriority w:val="99"/>
    <w:semiHidden/>
    <w:unhideWhenUsed/>
    <w:pPr>
      <w:pBdr/>
      <w:spacing/>
      <w:ind/>
    </w:pPr>
    <w:rPr>
      <w:vertAlign w:val="superscript"/>
    </w:rPr>
  </w:style>
  <w:style w:type="character" w:styleId="187">
    <w:name w:val="Hyperlink"/>
    <w:basedOn w:val="822"/>
    <w:uiPriority w:val="99"/>
    <w:unhideWhenUsed/>
    <w:pPr>
      <w:pBdr/>
      <w:spacing/>
      <w:ind/>
    </w:pPr>
    <w:rPr>
      <w:color w:val="0563c1" w:themeColor="hyperlink"/>
      <w:u w:val="single"/>
    </w:rPr>
  </w:style>
  <w:style w:type="character" w:styleId="188">
    <w:name w:val="FollowedHyperlink"/>
    <w:basedOn w:val="822"/>
    <w:uiPriority w:val="99"/>
    <w:semiHidden/>
    <w:unhideWhenUsed/>
    <w:pPr>
      <w:pBdr/>
      <w:spacing/>
      <w:ind/>
    </w:pPr>
    <w:rPr>
      <w:color w:val="954f72" w:themeColor="followedHyperlink"/>
      <w:u w:val="single"/>
    </w:rPr>
  </w:style>
  <w:style w:type="paragraph" w:styleId="189">
    <w:name w:val="toc 1"/>
    <w:basedOn w:val="821"/>
    <w:next w:val="821"/>
    <w:uiPriority w:val="39"/>
    <w:unhideWhenUsed/>
    <w:pPr>
      <w:pBdr/>
      <w:spacing w:after="100"/>
      <w:ind/>
    </w:pPr>
  </w:style>
  <w:style w:type="paragraph" w:styleId="190">
    <w:name w:val="toc 2"/>
    <w:basedOn w:val="821"/>
    <w:next w:val="821"/>
    <w:uiPriority w:val="39"/>
    <w:unhideWhenUsed/>
    <w:pPr>
      <w:pBdr/>
      <w:spacing w:after="100"/>
      <w:ind w:left="220"/>
    </w:pPr>
  </w:style>
  <w:style w:type="paragraph" w:styleId="191">
    <w:name w:val="toc 3"/>
    <w:basedOn w:val="821"/>
    <w:next w:val="821"/>
    <w:uiPriority w:val="39"/>
    <w:unhideWhenUsed/>
    <w:pPr>
      <w:pBdr/>
      <w:spacing w:after="100"/>
      <w:ind w:left="440"/>
    </w:pPr>
  </w:style>
  <w:style w:type="paragraph" w:styleId="192">
    <w:name w:val="toc 4"/>
    <w:basedOn w:val="821"/>
    <w:next w:val="821"/>
    <w:uiPriority w:val="39"/>
    <w:unhideWhenUsed/>
    <w:pPr>
      <w:pBdr/>
      <w:spacing w:after="100"/>
      <w:ind w:left="660"/>
    </w:pPr>
  </w:style>
  <w:style w:type="paragraph" w:styleId="193">
    <w:name w:val="toc 5"/>
    <w:basedOn w:val="821"/>
    <w:next w:val="821"/>
    <w:uiPriority w:val="39"/>
    <w:unhideWhenUsed/>
    <w:pPr>
      <w:pBdr/>
      <w:spacing w:after="100"/>
      <w:ind w:left="880"/>
    </w:pPr>
  </w:style>
  <w:style w:type="paragraph" w:styleId="194">
    <w:name w:val="toc 6"/>
    <w:basedOn w:val="821"/>
    <w:next w:val="821"/>
    <w:uiPriority w:val="39"/>
    <w:unhideWhenUsed/>
    <w:pPr>
      <w:pBdr/>
      <w:spacing w:after="100"/>
      <w:ind w:left="1100"/>
    </w:pPr>
  </w:style>
  <w:style w:type="paragraph" w:styleId="195">
    <w:name w:val="toc 7"/>
    <w:basedOn w:val="821"/>
    <w:next w:val="821"/>
    <w:uiPriority w:val="39"/>
    <w:unhideWhenUsed/>
    <w:pPr>
      <w:pBdr/>
      <w:spacing w:after="100"/>
      <w:ind w:left="1320"/>
    </w:pPr>
  </w:style>
  <w:style w:type="paragraph" w:styleId="196">
    <w:name w:val="toc 8"/>
    <w:basedOn w:val="821"/>
    <w:next w:val="821"/>
    <w:uiPriority w:val="39"/>
    <w:unhideWhenUsed/>
    <w:pPr>
      <w:pBdr/>
      <w:spacing w:after="100"/>
      <w:ind w:left="1540"/>
    </w:pPr>
  </w:style>
  <w:style w:type="paragraph" w:styleId="197">
    <w:name w:val="toc 9"/>
    <w:basedOn w:val="821"/>
    <w:next w:val="821"/>
    <w:uiPriority w:val="39"/>
    <w:unhideWhenUsed/>
    <w:pPr>
      <w:pBdr/>
      <w:spacing w:after="100"/>
      <w:ind w:left="1760"/>
    </w:pPr>
  </w:style>
  <w:style w:type="character" w:styleId="198">
    <w:name w:val="Placeholder Text"/>
    <w:basedOn w:val="822"/>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21"/>
    <w:next w:val="821"/>
    <w:uiPriority w:val="99"/>
    <w:unhideWhenUsed/>
    <w:pPr>
      <w:pBdr/>
      <w:spacing w:after="0" w:afterAutospacing="0"/>
      <w:ind/>
    </w:pPr>
  </w:style>
  <w:style w:type="paragraph" w:styleId="821" w:default="1">
    <w:name w:val="Normal"/>
    <w:qFormat/>
    <w:pPr>
      <w:pBdr/>
      <w:spacing/>
      <w:ind/>
    </w:pPr>
  </w:style>
  <w:style w:type="character" w:styleId="822" w:default="1">
    <w:name w:val="Default Paragraph Font"/>
    <w:uiPriority w:val="1"/>
    <w:semiHidden/>
    <w:unhideWhenUsed/>
    <w:pPr>
      <w:pBdr/>
      <w:spacing/>
      <w:ind/>
    </w:pPr>
  </w:style>
  <w:style w:type="table" w:styleId="82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4" w:default="1">
    <w:name w:val="No List"/>
    <w:uiPriority w:val="99"/>
    <w:semiHidden/>
    <w:unhideWhenUsed/>
    <w:pPr>
      <w:pBdr/>
      <w:spacing/>
      <w:ind/>
    </w:pPr>
  </w:style>
  <w:style w:type="paragraph" w:styleId="825">
    <w:name w:val="Header"/>
    <w:basedOn w:val="821"/>
    <w:link w:val="826"/>
    <w:uiPriority w:val="99"/>
    <w:unhideWhenUsed/>
    <w:pPr>
      <w:pBdr/>
      <w:tabs>
        <w:tab w:val="center" w:leader="none" w:pos="4536"/>
        <w:tab w:val="right" w:leader="none" w:pos="9072"/>
      </w:tabs>
      <w:spacing w:after="0" w:line="240" w:lineRule="auto"/>
      <w:ind/>
    </w:pPr>
  </w:style>
  <w:style w:type="character" w:styleId="826" w:customStyle="1">
    <w:name w:val="Header Char"/>
    <w:basedOn w:val="822"/>
    <w:link w:val="825"/>
    <w:uiPriority w:val="99"/>
    <w:pPr>
      <w:pBdr/>
      <w:spacing/>
      <w:ind/>
    </w:pPr>
  </w:style>
  <w:style w:type="paragraph" w:styleId="827">
    <w:name w:val="Footer"/>
    <w:basedOn w:val="821"/>
    <w:link w:val="828"/>
    <w:uiPriority w:val="99"/>
    <w:semiHidden/>
    <w:unhideWhenUsed/>
    <w:pPr>
      <w:pBdr/>
      <w:tabs>
        <w:tab w:val="center" w:leader="none" w:pos="4536"/>
        <w:tab w:val="right" w:leader="none" w:pos="9072"/>
      </w:tabs>
      <w:spacing w:after="0" w:line="240" w:lineRule="auto"/>
      <w:ind/>
    </w:pPr>
  </w:style>
  <w:style w:type="character" w:styleId="828" w:customStyle="1">
    <w:name w:val="Footer Char"/>
    <w:basedOn w:val="822"/>
    <w:link w:val="827"/>
    <w:uiPriority w:val="99"/>
    <w:semiHidden/>
    <w:pPr>
      <w:pBdr/>
      <w:spacing/>
      <w:ind/>
    </w:pPr>
  </w:style>
  <w:style w:type="table" w:styleId="829">
    <w:name w:val="Table Grid"/>
    <w:basedOn w:val="823"/>
    <w:uiPriority w:val="39"/>
    <w:pPr>
      <w:pBdr/>
      <w:spacing w:after="120" w:line="240" w:lineRule="auto"/>
      <w:ind/>
    </w:pPr>
    <w:rPr>
      <w:rFonts w:ascii="New York" w:hAnsi="New York" w:eastAsia="Times New Roman" w:cs="Times New Roman"/>
      <w:sz w:val="20"/>
      <w:szCs w:val="20"/>
      <w:lang w:val="ru-RU"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За компанијску употребу/For use in company</cp:keywords>
  <dc:description/>
  <cp:lastModifiedBy>G1 Diana Borjan</cp:lastModifiedBy>
  <cp:revision>12</cp:revision>
  <dcterms:created xsi:type="dcterms:W3CDTF">2025-04-10T19:58:00Z</dcterms:created>
  <dcterms:modified xsi:type="dcterms:W3CDTF">2026-01-21T07:33:30Z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fff1c9a2-ac12-4da6-98ac-96b0913619bc</vt:lpwstr>
  </property>
  <property fmtid="{D5CDD505-2E9C-101B-9397-08002B2CF9AE}" pid="3" name="Klasifikacija">
    <vt:lpwstr>Za-internu-upotrebu-Restricted</vt:lpwstr>
  </property>
</Properties>
</file>